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A" w:rsidRDefault="00A869DA" w:rsidP="00A869DA">
      <w:pPr>
        <w:autoSpaceDE w:val="0"/>
        <w:ind w:right="-144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</w:t>
      </w: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 xml:space="preserve">1 </w:t>
      </w:r>
    </w:p>
    <w:p w:rsidR="00A869DA" w:rsidRDefault="00A869DA" w:rsidP="00A869DA">
      <w:pPr>
        <w:autoSpaceDE w:val="0"/>
        <w:ind w:left="5812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 муниципальной программе </w:t>
      </w:r>
    </w:p>
    <w:p w:rsidR="00A869DA" w:rsidRPr="004627ED" w:rsidRDefault="00A869DA" w:rsidP="00A869D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A869DA" w:rsidRPr="004627ED" w:rsidRDefault="00A869DA" w:rsidP="00A869DA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A869DA" w:rsidRPr="00BC0429" w:rsidRDefault="00A869DA" w:rsidP="00A869DA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A869DA" w:rsidRPr="00BC0429" w:rsidRDefault="00A869DA" w:rsidP="00A869DA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16F1">
        <w:rPr>
          <w:rFonts w:eastAsia="SimSun"/>
          <w:b/>
          <w:bCs/>
          <w:kern w:val="1"/>
          <w:sz w:val="28"/>
          <w:szCs w:val="28"/>
        </w:rPr>
        <w:t>Вовлечение молодёжи Туруханского района в социальную практику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A869DA" w:rsidRPr="004627ED" w:rsidRDefault="00A869DA" w:rsidP="00A869DA">
      <w:pPr>
        <w:widowControl w:val="0"/>
        <w:spacing w:line="100" w:lineRule="atLeast"/>
        <w:jc w:val="center"/>
        <w:rPr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6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6935"/>
      </w:tblGrid>
      <w:tr w:rsidR="00A869DA" w:rsidRPr="004627ED" w:rsidTr="006E1DF7">
        <w:trPr>
          <w:trHeight w:val="8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Pr="004627ED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EC16F1">
              <w:rPr>
                <w:sz w:val="28"/>
                <w:szCs w:val="28"/>
              </w:rPr>
              <w:t>Вовлечение молодёжи Туруханского района в социальную практику</w:t>
            </w:r>
          </w:p>
        </w:tc>
      </w:tr>
      <w:tr w:rsidR="00A869DA" w:rsidRPr="004627ED" w:rsidTr="006E1DF7">
        <w:trPr>
          <w:trHeight w:val="1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Pr="004627ED" w:rsidRDefault="00A869DA" w:rsidP="006E1DF7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A869DA" w:rsidRPr="004627ED" w:rsidTr="006E1DF7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A869DA" w:rsidRPr="004627ED" w:rsidTr="006E1DF7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Территориальное управление администрации Туруханского района; Управление </w:t>
            </w:r>
            <w:proofErr w:type="spellStart"/>
            <w:r>
              <w:rPr>
                <w:rFonts w:eastAsia="SimSun"/>
                <w:kern w:val="1"/>
                <w:sz w:val="28"/>
                <w:szCs w:val="28"/>
              </w:rPr>
              <w:t>жилищно</w:t>
            </w:r>
            <w:proofErr w:type="spellEnd"/>
            <w:r>
              <w:rPr>
                <w:rFonts w:eastAsia="SimSun"/>
                <w:kern w:val="1"/>
                <w:sz w:val="28"/>
                <w:szCs w:val="28"/>
              </w:rPr>
              <w:t xml:space="preserve"> – коммунального хозяйства администрации Туруханского района</w:t>
            </w:r>
          </w:p>
        </w:tc>
      </w:tr>
      <w:tr w:rsidR="00A869DA" w:rsidRPr="004627ED" w:rsidTr="006E1DF7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DA" w:rsidRPr="004627ED" w:rsidRDefault="00A869DA" w:rsidP="006E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6042">
              <w:rPr>
                <w:sz w:val="28"/>
                <w:szCs w:val="28"/>
              </w:rPr>
              <w:t>оздание условий успешной социализации и эффективной самореализации молодёжи Туруханского района</w:t>
            </w:r>
          </w:p>
        </w:tc>
      </w:tr>
      <w:tr w:rsidR="00A869DA" w:rsidRPr="004627ED" w:rsidTr="006E1DF7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9DA" w:rsidRPr="00EC16F1" w:rsidRDefault="00A869DA" w:rsidP="006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16F1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EC16F1">
              <w:rPr>
                <w:sz w:val="28"/>
                <w:szCs w:val="28"/>
              </w:rPr>
              <w:t xml:space="preserve"> молодёжны</w:t>
            </w:r>
            <w:r>
              <w:rPr>
                <w:sz w:val="28"/>
                <w:szCs w:val="28"/>
              </w:rPr>
              <w:t>х общественных объединений</w:t>
            </w:r>
            <w:r w:rsidRPr="00EC16F1">
              <w:rPr>
                <w:sz w:val="28"/>
                <w:szCs w:val="28"/>
              </w:rPr>
              <w:t>, действующи</w:t>
            </w:r>
            <w:r>
              <w:rPr>
                <w:sz w:val="28"/>
                <w:szCs w:val="28"/>
              </w:rPr>
              <w:t>х</w:t>
            </w:r>
            <w:r w:rsidRPr="00EC16F1">
              <w:rPr>
                <w:sz w:val="28"/>
                <w:szCs w:val="28"/>
              </w:rPr>
              <w:t xml:space="preserve"> на территории Туруханского района, вовле</w:t>
            </w:r>
            <w:r>
              <w:rPr>
                <w:sz w:val="28"/>
                <w:szCs w:val="28"/>
              </w:rPr>
              <w:t>чение молодёжи</w:t>
            </w:r>
            <w:r w:rsidRPr="00EC16F1">
              <w:rPr>
                <w:sz w:val="28"/>
                <w:szCs w:val="28"/>
              </w:rPr>
              <w:t xml:space="preserve"> в общественную деятельность</w:t>
            </w:r>
            <w:r>
              <w:rPr>
                <w:sz w:val="28"/>
                <w:szCs w:val="28"/>
              </w:rPr>
              <w:t>.</w:t>
            </w:r>
          </w:p>
          <w:p w:rsidR="00A869DA" w:rsidRPr="00787E65" w:rsidRDefault="00A869DA" w:rsidP="006E1D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190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857190">
              <w:rPr>
                <w:sz w:val="28"/>
                <w:szCs w:val="28"/>
              </w:rPr>
              <w:t xml:space="preserve"> инфраструктур</w:t>
            </w:r>
            <w:r>
              <w:rPr>
                <w:sz w:val="28"/>
                <w:szCs w:val="28"/>
              </w:rPr>
              <w:t>ы</w:t>
            </w:r>
            <w:r w:rsidRPr="00857190">
              <w:rPr>
                <w:sz w:val="28"/>
                <w:szCs w:val="28"/>
              </w:rPr>
              <w:t xml:space="preserve"> и кадров</w:t>
            </w:r>
            <w:r>
              <w:rPr>
                <w:sz w:val="28"/>
                <w:szCs w:val="28"/>
              </w:rPr>
              <w:t>ого</w:t>
            </w:r>
            <w:r w:rsidRPr="00857190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857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</w:t>
            </w:r>
            <w:r w:rsidRPr="00857190">
              <w:rPr>
                <w:sz w:val="28"/>
                <w:szCs w:val="28"/>
              </w:rPr>
              <w:t xml:space="preserve">ной политики </w:t>
            </w:r>
            <w:r>
              <w:rPr>
                <w:sz w:val="28"/>
                <w:szCs w:val="28"/>
              </w:rPr>
              <w:t>Туруханского района.</w:t>
            </w:r>
          </w:p>
        </w:tc>
      </w:tr>
      <w:tr w:rsidR="00A869DA" w:rsidRPr="004627ED" w:rsidTr="006E1DF7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9DA" w:rsidRPr="001547E9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9DA" w:rsidRPr="00787E65" w:rsidRDefault="00A869DA" w:rsidP="006E1DF7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A869DA" w:rsidRPr="004627ED" w:rsidTr="006E1DF7">
        <w:trPr>
          <w:trHeight w:val="88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201</w:t>
            </w:r>
            <w:r>
              <w:rPr>
                <w:rFonts w:eastAsia="SimSun"/>
                <w:kern w:val="1"/>
                <w:sz w:val="28"/>
                <w:szCs w:val="28"/>
              </w:rPr>
              <w:t>8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- 20</w:t>
            </w:r>
            <w:r>
              <w:rPr>
                <w:rFonts w:eastAsia="SimSun"/>
                <w:kern w:val="1"/>
                <w:sz w:val="28"/>
                <w:szCs w:val="28"/>
              </w:rPr>
              <w:t>27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A869DA" w:rsidRPr="004627ED" w:rsidTr="006E1DF7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Общий объем финансирования за счет </w:t>
            </w:r>
            <w:r>
              <w:rPr>
                <w:rFonts w:eastAsia="SimSun"/>
                <w:kern w:val="1"/>
                <w:sz w:val="28"/>
                <w:szCs w:val="28"/>
              </w:rPr>
              <w:t>средств   районного,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краевого бюджета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и бюджетов поселений</w:t>
            </w:r>
            <w:r w:rsidRPr="004627ED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– </w:t>
            </w:r>
            <w:r w:rsidR="002B09C5">
              <w:rPr>
                <w:rFonts w:eastAsia="SimSun"/>
                <w:kern w:val="1"/>
                <w:sz w:val="28"/>
                <w:szCs w:val="28"/>
              </w:rPr>
              <w:t>387</w:t>
            </w:r>
            <w:r w:rsidR="00433D78">
              <w:rPr>
                <w:rFonts w:eastAsia="SimSun"/>
                <w:kern w:val="1"/>
                <w:sz w:val="28"/>
                <w:szCs w:val="28"/>
              </w:rPr>
              <w:t> </w:t>
            </w:r>
            <w:r w:rsidR="002F5473">
              <w:rPr>
                <w:rFonts w:eastAsia="SimSun"/>
                <w:kern w:val="1"/>
                <w:sz w:val="28"/>
                <w:szCs w:val="28"/>
              </w:rPr>
              <w:t>806</w:t>
            </w:r>
            <w:r w:rsidR="00433D78">
              <w:rPr>
                <w:rFonts w:eastAsia="SimSun"/>
                <w:kern w:val="1"/>
                <w:sz w:val="28"/>
                <w:szCs w:val="28"/>
              </w:rPr>
              <w:t>,941</w:t>
            </w:r>
            <w:r w:rsidRPr="00DE0FCE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666AF5">
              <w:rPr>
                <w:rFonts w:eastAsia="SimSun"/>
                <w:kern w:val="1"/>
                <w:sz w:val="28"/>
                <w:szCs w:val="28"/>
              </w:rPr>
              <w:t>тыс</w:t>
            </w:r>
            <w:r>
              <w:rPr>
                <w:rFonts w:eastAsia="SimSun"/>
                <w:kern w:val="1"/>
                <w:sz w:val="28"/>
                <w:szCs w:val="28"/>
              </w:rPr>
              <w:t>. руб.,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17 644,942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19 258,428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24 545,019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35 491,025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51 025,023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72 762,073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77 652,377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433D78">
              <w:rPr>
                <w:sz w:val="28"/>
                <w:szCs w:val="28"/>
              </w:rPr>
              <w:t>44 </w:t>
            </w:r>
            <w:r w:rsidR="002F5473">
              <w:rPr>
                <w:sz w:val="28"/>
                <w:szCs w:val="28"/>
              </w:rPr>
              <w:t>037</w:t>
            </w:r>
            <w:r w:rsidR="00433D78">
              <w:rPr>
                <w:sz w:val="28"/>
                <w:szCs w:val="28"/>
              </w:rPr>
              <w:t>,050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22 695,502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Pr="0034084A" w:rsidRDefault="00A869DA" w:rsidP="006E1DF7">
            <w:pPr>
              <w:rPr>
                <w:sz w:val="28"/>
                <w:szCs w:val="28"/>
              </w:rPr>
            </w:pPr>
            <w:r w:rsidRPr="0034084A">
              <w:rPr>
                <w:sz w:val="28"/>
                <w:szCs w:val="28"/>
              </w:rPr>
              <w:t xml:space="preserve">краевой бюджет </w:t>
            </w:r>
            <w:r>
              <w:rPr>
                <w:sz w:val="28"/>
                <w:szCs w:val="28"/>
              </w:rPr>
              <w:t>7 215,688</w:t>
            </w:r>
            <w:r w:rsidRPr="00666AF5">
              <w:rPr>
                <w:sz w:val="28"/>
                <w:szCs w:val="28"/>
              </w:rPr>
              <w:t xml:space="preserve"> тыс. руб., из них</w:t>
            </w:r>
            <w:r w:rsidRPr="0034084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084A">
              <w:rPr>
                <w:sz w:val="28"/>
                <w:szCs w:val="28"/>
              </w:rPr>
              <w:t>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2 593,258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421,230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699,400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545,700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790,400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523,300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районный бюджет – </w:t>
            </w:r>
            <w:r w:rsidR="002B09C5">
              <w:rPr>
                <w:sz w:val="28"/>
                <w:szCs w:val="28"/>
              </w:rPr>
              <w:t>292</w:t>
            </w:r>
            <w:r w:rsidR="00433D78">
              <w:rPr>
                <w:sz w:val="28"/>
                <w:szCs w:val="28"/>
              </w:rPr>
              <w:t> </w:t>
            </w:r>
            <w:r w:rsidR="002F5473">
              <w:rPr>
                <w:sz w:val="28"/>
                <w:szCs w:val="28"/>
              </w:rPr>
              <w:t>373</w:t>
            </w:r>
            <w:r w:rsidR="00433D78">
              <w:rPr>
                <w:sz w:val="28"/>
                <w:szCs w:val="28"/>
              </w:rPr>
              <w:t>,095</w:t>
            </w:r>
            <w:r>
              <w:rPr>
                <w:sz w:val="28"/>
                <w:szCs w:val="28"/>
              </w:rPr>
              <w:t xml:space="preserve">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15 051,684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10 375,700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13 888,634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20 627,658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40 139,344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57 893,505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62 929,232 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A869DA" w:rsidRPr="00192BC7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  <w:r w:rsidR="00A869DA">
              <w:rPr>
                <w:sz w:val="28"/>
                <w:szCs w:val="28"/>
              </w:rPr>
              <w:tab/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433D78">
              <w:rPr>
                <w:sz w:val="28"/>
                <w:szCs w:val="28"/>
              </w:rPr>
              <w:t>26 </w:t>
            </w:r>
            <w:r w:rsidR="002F5473">
              <w:rPr>
                <w:sz w:val="28"/>
                <w:szCs w:val="28"/>
              </w:rPr>
              <w:t>902</w:t>
            </w:r>
            <w:r w:rsidR="00433D78">
              <w:rPr>
                <w:sz w:val="28"/>
                <w:szCs w:val="28"/>
              </w:rPr>
              <w:t>,334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  <w:r w:rsidRPr="00192BC7">
              <w:rPr>
                <w:sz w:val="28"/>
                <w:szCs w:val="28"/>
              </w:rPr>
              <w:t xml:space="preserve"> – </w:t>
            </w:r>
            <w:bookmarkStart w:id="0" w:name="_GoBack"/>
            <w:bookmarkEnd w:id="0"/>
            <w:r>
              <w:rPr>
                <w:sz w:val="28"/>
                <w:szCs w:val="28"/>
              </w:rPr>
              <w:t>86</w:t>
            </w:r>
            <w:r w:rsidR="002B09C5">
              <w:rPr>
                <w:sz w:val="28"/>
                <w:szCs w:val="28"/>
              </w:rPr>
              <w:t> 2</w:t>
            </w:r>
            <w:r w:rsidR="002F5473">
              <w:rPr>
                <w:sz w:val="28"/>
                <w:szCs w:val="28"/>
              </w:rPr>
              <w:t>33</w:t>
            </w:r>
            <w:r w:rsidR="002B09C5">
              <w:rPr>
                <w:sz w:val="28"/>
                <w:szCs w:val="28"/>
              </w:rPr>
              <w:t>,158</w:t>
            </w:r>
            <w:r>
              <w:rPr>
                <w:sz w:val="28"/>
                <w:szCs w:val="28"/>
              </w:rPr>
              <w:t xml:space="preserve">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10 252,985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14 163,967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10 339,979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12 093,168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14 199,845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</w:t>
            </w:r>
            <w:r w:rsidR="002B09C5">
              <w:rPr>
                <w:sz w:val="28"/>
                <w:szCs w:val="28"/>
              </w:rPr>
              <w:t> </w:t>
            </w:r>
            <w:r w:rsidR="002F5473">
              <w:rPr>
                <w:sz w:val="28"/>
                <w:szCs w:val="28"/>
              </w:rPr>
              <w:t>721</w:t>
            </w:r>
            <w:r w:rsidR="002B09C5">
              <w:rPr>
                <w:sz w:val="28"/>
                <w:szCs w:val="28"/>
              </w:rPr>
              <w:t>,716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>» - 1 985,000 тыс. руб.,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1 985,000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0A213F" w:rsidRDefault="000A213F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Pr="00A505BC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A869DA" w:rsidRDefault="00A869DA" w:rsidP="00A869DA">
      <w:pPr>
        <w:widowControl w:val="0"/>
        <w:spacing w:line="100" w:lineRule="atLeast"/>
        <w:ind w:left="720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0746">
        <w:rPr>
          <w:sz w:val="28"/>
          <w:szCs w:val="28"/>
        </w:rPr>
        <w:t>Мероприятия Подпрограммы</w:t>
      </w:r>
    </w:p>
    <w:p w:rsidR="00A869DA" w:rsidRDefault="00A869DA" w:rsidP="00A869DA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A869DA" w:rsidRDefault="00A869DA" w:rsidP="00A869DA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молодёж</w:t>
      </w:r>
      <w:r w:rsidRPr="00787E65">
        <w:rPr>
          <w:sz w:val="28"/>
          <w:szCs w:val="28"/>
        </w:rPr>
        <w:t>ных центров, возможно, будет осуществлено за счет внебюджетных поступлений.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A869DA" w:rsidRPr="004627ED" w:rsidRDefault="00A869DA" w:rsidP="00A869DA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A869DA" w:rsidRPr="00237B95" w:rsidRDefault="00A869DA" w:rsidP="00A869DA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A869DA" w:rsidRPr="00237B95" w:rsidRDefault="00A869DA" w:rsidP="00A869D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869DA" w:rsidRPr="00237B95" w:rsidRDefault="00A869DA" w:rsidP="00A869DA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марта,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A869DA" w:rsidRDefault="00A869DA" w:rsidP="00A869DA"/>
    <w:p w:rsidR="00A80F9A" w:rsidRDefault="00A80F9A"/>
    <w:sectPr w:rsidR="00A80F9A" w:rsidSect="00A80F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B2" w:rsidRDefault="000A38B2" w:rsidP="00A869DA">
      <w:r>
        <w:separator/>
      </w:r>
    </w:p>
  </w:endnote>
  <w:endnote w:type="continuationSeparator" w:id="0">
    <w:p w:rsidR="000A38B2" w:rsidRDefault="000A38B2" w:rsidP="00A8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B2" w:rsidRDefault="000A38B2" w:rsidP="00A869DA">
      <w:r>
        <w:separator/>
      </w:r>
    </w:p>
  </w:footnote>
  <w:footnote w:type="continuationSeparator" w:id="0">
    <w:p w:rsidR="000A38B2" w:rsidRDefault="000A38B2" w:rsidP="00A8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5626"/>
      <w:docPartObj>
        <w:docPartGallery w:val="Page Numbers (Top of Page)"/>
        <w:docPartUnique/>
      </w:docPartObj>
    </w:sdtPr>
    <w:sdtContent>
      <w:p w:rsidR="00A869DA" w:rsidRDefault="00FB2DC8">
        <w:pPr>
          <w:pStyle w:val="a3"/>
          <w:jc w:val="center"/>
        </w:pPr>
        <w:fldSimple w:instr=" PAGE   \* MERGEFORMAT ">
          <w:r w:rsidR="002F5473">
            <w:rPr>
              <w:noProof/>
            </w:rPr>
            <w:t>3</w:t>
          </w:r>
        </w:fldSimple>
      </w:p>
    </w:sdtContent>
  </w:sdt>
  <w:p w:rsidR="00A869DA" w:rsidRDefault="00A869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DA"/>
    <w:rsid w:val="00086310"/>
    <w:rsid w:val="000A213F"/>
    <w:rsid w:val="000A38B2"/>
    <w:rsid w:val="001D6520"/>
    <w:rsid w:val="002B09C5"/>
    <w:rsid w:val="002F5473"/>
    <w:rsid w:val="003E5162"/>
    <w:rsid w:val="00433D78"/>
    <w:rsid w:val="004A5145"/>
    <w:rsid w:val="00866E69"/>
    <w:rsid w:val="008D634F"/>
    <w:rsid w:val="00A446FF"/>
    <w:rsid w:val="00A80F9A"/>
    <w:rsid w:val="00A869DA"/>
    <w:rsid w:val="00C90E9B"/>
    <w:rsid w:val="00D17F15"/>
    <w:rsid w:val="00FB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DA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69DA"/>
  </w:style>
  <w:style w:type="paragraph" w:styleId="a5">
    <w:name w:val="footer"/>
    <w:basedOn w:val="a"/>
    <w:link w:val="a6"/>
    <w:uiPriority w:val="99"/>
    <w:semiHidden/>
    <w:unhideWhenUsed/>
    <w:rsid w:val="00A869DA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69DA"/>
  </w:style>
  <w:style w:type="paragraph" w:styleId="HTML">
    <w:name w:val="HTML Preformatted"/>
    <w:basedOn w:val="a"/>
    <w:link w:val="HTML0"/>
    <w:rsid w:val="00A86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6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6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778</Words>
  <Characters>4438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2025-05-15T03:20:00Z</dcterms:created>
  <dcterms:modified xsi:type="dcterms:W3CDTF">2025-07-10T02:39:00Z</dcterms:modified>
</cp:coreProperties>
</file>