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C0" w:rsidRDefault="004057C0" w:rsidP="004057C0">
      <w:pPr>
        <w:autoSpaceDE w:val="0"/>
        <w:autoSpaceDN w:val="0"/>
        <w:adjustRightInd w:val="0"/>
        <w:spacing w:after="0"/>
        <w:jc w:val="center"/>
        <w:rPr>
          <w:rFonts w:ascii="Times New Roman" w:hAnsi="Times New Roman"/>
          <w:b/>
          <w:bCs/>
          <w:color w:val="000000"/>
          <w:sz w:val="52"/>
          <w:szCs w:val="52"/>
        </w:rPr>
      </w:pPr>
    </w:p>
    <w:p w:rsidR="004057C0" w:rsidRDefault="004057C0" w:rsidP="004057C0">
      <w:pPr>
        <w:autoSpaceDE w:val="0"/>
        <w:autoSpaceDN w:val="0"/>
        <w:adjustRightInd w:val="0"/>
        <w:spacing w:after="0"/>
        <w:jc w:val="center"/>
        <w:rPr>
          <w:rFonts w:ascii="Times New Roman" w:hAnsi="Times New Roman"/>
          <w:b/>
          <w:bCs/>
          <w:color w:val="000000"/>
          <w:sz w:val="52"/>
          <w:szCs w:val="52"/>
        </w:rPr>
      </w:pPr>
    </w:p>
    <w:p w:rsidR="004057C0" w:rsidRDefault="004057C0" w:rsidP="004057C0">
      <w:pPr>
        <w:autoSpaceDE w:val="0"/>
        <w:autoSpaceDN w:val="0"/>
        <w:adjustRightInd w:val="0"/>
        <w:spacing w:after="0"/>
        <w:jc w:val="center"/>
        <w:rPr>
          <w:rFonts w:ascii="Times New Roman" w:hAnsi="Times New Roman"/>
          <w:b/>
          <w:bCs/>
          <w:color w:val="000000"/>
          <w:sz w:val="52"/>
          <w:szCs w:val="52"/>
        </w:rPr>
      </w:pPr>
    </w:p>
    <w:p w:rsidR="004057C0" w:rsidRDefault="004057C0" w:rsidP="004057C0">
      <w:pPr>
        <w:autoSpaceDE w:val="0"/>
        <w:autoSpaceDN w:val="0"/>
        <w:adjustRightInd w:val="0"/>
        <w:spacing w:after="0"/>
        <w:jc w:val="center"/>
        <w:rPr>
          <w:rFonts w:ascii="Times New Roman" w:hAnsi="Times New Roman"/>
          <w:b/>
          <w:bCs/>
          <w:color w:val="000000"/>
          <w:sz w:val="52"/>
          <w:szCs w:val="52"/>
        </w:rPr>
      </w:pPr>
    </w:p>
    <w:p w:rsidR="004057C0" w:rsidRDefault="004057C0" w:rsidP="004057C0">
      <w:pPr>
        <w:autoSpaceDE w:val="0"/>
        <w:autoSpaceDN w:val="0"/>
        <w:adjustRightInd w:val="0"/>
        <w:spacing w:after="0"/>
        <w:jc w:val="center"/>
        <w:rPr>
          <w:rFonts w:ascii="Times New Roman" w:hAnsi="Times New Roman"/>
          <w:b/>
          <w:bCs/>
          <w:color w:val="000000"/>
          <w:sz w:val="52"/>
          <w:szCs w:val="52"/>
        </w:rPr>
      </w:pPr>
    </w:p>
    <w:p w:rsidR="004057C0" w:rsidRDefault="004057C0" w:rsidP="004057C0">
      <w:pPr>
        <w:autoSpaceDE w:val="0"/>
        <w:autoSpaceDN w:val="0"/>
        <w:adjustRightInd w:val="0"/>
        <w:spacing w:after="0"/>
        <w:jc w:val="center"/>
        <w:rPr>
          <w:rFonts w:ascii="Times New Roman" w:hAnsi="Times New Roman"/>
          <w:b/>
          <w:bCs/>
          <w:color w:val="000000"/>
          <w:sz w:val="52"/>
          <w:szCs w:val="52"/>
        </w:rPr>
      </w:pPr>
    </w:p>
    <w:p w:rsidR="004057C0" w:rsidRDefault="004057C0" w:rsidP="004057C0">
      <w:pPr>
        <w:autoSpaceDE w:val="0"/>
        <w:autoSpaceDN w:val="0"/>
        <w:adjustRightInd w:val="0"/>
        <w:spacing w:after="0"/>
        <w:ind w:right="617"/>
        <w:jc w:val="center"/>
        <w:rPr>
          <w:rFonts w:ascii="Times New Roman" w:hAnsi="Times New Roman"/>
          <w:b/>
          <w:bCs/>
          <w:color w:val="000000"/>
          <w:sz w:val="52"/>
          <w:szCs w:val="52"/>
        </w:rPr>
      </w:pPr>
      <w:r w:rsidRPr="002A13D9">
        <w:rPr>
          <w:rFonts w:ascii="Times New Roman" w:hAnsi="Times New Roman"/>
          <w:b/>
          <w:bCs/>
          <w:color w:val="000000"/>
          <w:sz w:val="52"/>
          <w:szCs w:val="52"/>
        </w:rPr>
        <w:t>Прогноз социально-экономического развития муниципального образования Туруханский район</w:t>
      </w:r>
    </w:p>
    <w:p w:rsidR="004057C0" w:rsidRPr="002A13D9" w:rsidRDefault="004057C0" w:rsidP="004057C0">
      <w:pPr>
        <w:autoSpaceDE w:val="0"/>
        <w:autoSpaceDN w:val="0"/>
        <w:adjustRightInd w:val="0"/>
        <w:spacing w:after="0"/>
        <w:jc w:val="center"/>
        <w:rPr>
          <w:rFonts w:ascii="Times New Roman" w:hAnsi="Times New Roman"/>
          <w:b/>
          <w:bCs/>
          <w:color w:val="000000"/>
          <w:sz w:val="52"/>
          <w:szCs w:val="52"/>
        </w:rPr>
      </w:pPr>
      <w:r>
        <w:rPr>
          <w:rFonts w:ascii="Times New Roman" w:hAnsi="Times New Roman"/>
          <w:b/>
          <w:bCs/>
          <w:color w:val="000000"/>
          <w:sz w:val="52"/>
          <w:szCs w:val="52"/>
        </w:rPr>
        <w:t>на 2017 – 2019 годы</w:t>
      </w:r>
    </w:p>
    <w:p w:rsidR="004057C0" w:rsidRDefault="004057C0" w:rsidP="004057C0">
      <w:pPr>
        <w:pStyle w:val="1"/>
      </w:pPr>
    </w:p>
    <w:p w:rsidR="004057C0" w:rsidRDefault="004057C0" w:rsidP="004057C0">
      <w:pPr>
        <w:pStyle w:val="1"/>
      </w:pPr>
    </w:p>
    <w:p w:rsidR="004057C0" w:rsidRDefault="004057C0" w:rsidP="004057C0"/>
    <w:p w:rsidR="004057C0" w:rsidRDefault="004057C0" w:rsidP="004057C0"/>
    <w:p w:rsidR="004057C0" w:rsidRDefault="004057C0" w:rsidP="004057C0"/>
    <w:p w:rsidR="004057C0" w:rsidRDefault="004057C0" w:rsidP="004057C0"/>
    <w:p w:rsidR="004057C0" w:rsidRDefault="004057C0" w:rsidP="004057C0"/>
    <w:p w:rsidR="004057C0" w:rsidRDefault="004057C0" w:rsidP="004057C0"/>
    <w:p w:rsidR="004057C0" w:rsidRDefault="004057C0" w:rsidP="004057C0"/>
    <w:p w:rsidR="004057C0" w:rsidRPr="004057C0" w:rsidRDefault="004057C0" w:rsidP="004057C0"/>
    <w:p w:rsidR="004057C0" w:rsidRDefault="004057C0" w:rsidP="004057C0">
      <w:pPr>
        <w:pStyle w:val="1"/>
      </w:pPr>
    </w:p>
    <w:p w:rsidR="004057C0" w:rsidRDefault="004057C0" w:rsidP="004057C0">
      <w:pPr>
        <w:pStyle w:val="1"/>
      </w:pPr>
    </w:p>
    <w:p w:rsidR="004057C0" w:rsidRPr="004057C0" w:rsidRDefault="004057C0" w:rsidP="004057C0">
      <w:pPr>
        <w:pStyle w:val="1"/>
      </w:pPr>
      <w:r w:rsidRPr="004057C0">
        <w:lastRenderedPageBreak/>
        <w:t>Содержание:</w:t>
      </w:r>
    </w:p>
    <w:p w:rsidR="00743C1F" w:rsidRPr="00743C1F" w:rsidRDefault="004057C0" w:rsidP="000C06E2">
      <w:pPr>
        <w:spacing w:before="240" w:after="0" w:line="240" w:lineRule="auto"/>
        <w:jc w:val="right"/>
        <w:rPr>
          <w:rFonts w:ascii="Times New Roman" w:hAnsi="Times New Roman" w:cs="Times New Roman"/>
          <w:sz w:val="28"/>
          <w:szCs w:val="28"/>
        </w:rPr>
      </w:pPr>
      <w:r w:rsidRPr="004057C0">
        <w:rPr>
          <w:rFonts w:ascii="Times New Roman" w:hAnsi="Times New Roman" w:cs="Times New Roman"/>
          <w:sz w:val="28"/>
          <w:szCs w:val="28"/>
        </w:rPr>
        <w:t>стр.</w:t>
      </w:r>
    </w:p>
    <w:p w:rsidR="004057C0" w:rsidRDefault="004057C0" w:rsidP="000C06E2">
      <w:pPr>
        <w:pStyle w:val="1"/>
        <w:rPr>
          <w:b/>
        </w:rPr>
      </w:pPr>
      <w:r w:rsidRPr="004057C0">
        <w:rPr>
          <w:color w:val="000000"/>
        </w:rPr>
        <w:fldChar w:fldCharType="begin"/>
      </w:r>
      <w:r w:rsidRPr="004057C0">
        <w:rPr>
          <w:color w:val="000000"/>
        </w:rPr>
        <w:instrText xml:space="preserve"> TOC \o "1-1" \h \z \u </w:instrText>
      </w:r>
      <w:r w:rsidRPr="004057C0">
        <w:rPr>
          <w:color w:val="000000"/>
        </w:rPr>
        <w:fldChar w:fldCharType="separate"/>
      </w:r>
      <w:hyperlink w:anchor="_Toc403654414" w:history="1">
        <w:r w:rsidRPr="004057C0">
          <w:rPr>
            <w:rStyle w:val="a4"/>
            <w:bCs/>
          </w:rPr>
          <w:t>1.</w:t>
        </w:r>
        <w:r w:rsidRPr="004057C0">
          <w:rPr>
            <w:lang w:eastAsia="ru-RU"/>
          </w:rPr>
          <w:tab/>
        </w:r>
        <w:r w:rsidR="000C06E2">
          <w:rPr>
            <w:rStyle w:val="a4"/>
            <w:bCs/>
          </w:rPr>
          <w:t>Вводная часть</w:t>
        </w:r>
        <w:r w:rsidRPr="004057C0">
          <w:rPr>
            <w:webHidden/>
          </w:rPr>
          <w:tab/>
        </w:r>
      </w:hyperlink>
      <w:r w:rsidR="00664892">
        <w:rPr>
          <w:b/>
        </w:rPr>
        <w:t>4</w:t>
      </w:r>
    </w:p>
    <w:p w:rsidR="000C06E2" w:rsidRDefault="007602E2" w:rsidP="000C06E2">
      <w:pPr>
        <w:pStyle w:val="1"/>
        <w:rPr>
          <w:b/>
        </w:rPr>
      </w:pPr>
      <w:hyperlink w:anchor="_Toc403654414" w:history="1">
        <w:r w:rsidR="000C06E2" w:rsidRPr="004057C0">
          <w:rPr>
            <w:rStyle w:val="a4"/>
            <w:bCs/>
          </w:rPr>
          <w:t>1.</w:t>
        </w:r>
        <w:r w:rsidR="000C06E2" w:rsidRPr="004057C0">
          <w:rPr>
            <w:lang w:eastAsia="ru-RU"/>
          </w:rPr>
          <w:tab/>
        </w:r>
        <w:r w:rsidR="000C06E2" w:rsidRPr="004057C0">
          <w:rPr>
            <w:rStyle w:val="a4"/>
            <w:bCs/>
          </w:rPr>
          <w:t>Общие сведения о муниципальном образовании</w:t>
        </w:r>
        <w:r w:rsidR="000C06E2" w:rsidRPr="004057C0">
          <w:rPr>
            <w:webHidden/>
          </w:rPr>
          <w:tab/>
        </w:r>
      </w:hyperlink>
      <w:r w:rsidR="000C06E2">
        <w:rPr>
          <w:b/>
        </w:rPr>
        <w:t>4</w:t>
      </w:r>
    </w:p>
    <w:p w:rsidR="004057C0" w:rsidRPr="004057C0" w:rsidRDefault="007602E2" w:rsidP="000C06E2">
      <w:pPr>
        <w:pStyle w:val="1"/>
        <w:rPr>
          <w:lang w:eastAsia="ru-RU"/>
        </w:rPr>
      </w:pPr>
      <w:hyperlink w:anchor="_Toc403654415" w:history="1">
        <w:r w:rsidR="004057C0" w:rsidRPr="004057C0">
          <w:rPr>
            <w:rStyle w:val="a4"/>
            <w:bCs/>
          </w:rPr>
          <w:t>2.</w:t>
        </w:r>
        <w:r w:rsidR="004057C0" w:rsidRPr="004057C0">
          <w:rPr>
            <w:lang w:eastAsia="ru-RU"/>
          </w:rPr>
          <w:tab/>
        </w:r>
        <w:r w:rsidR="004057C0" w:rsidRPr="004057C0">
          <w:rPr>
            <w:rStyle w:val="a4"/>
            <w:bCs/>
          </w:rPr>
          <w:t>Промышленность</w:t>
        </w:r>
        <w:r w:rsidR="004057C0" w:rsidRPr="004057C0">
          <w:rPr>
            <w:webHidden/>
          </w:rPr>
          <w:tab/>
        </w:r>
      </w:hyperlink>
      <w:r w:rsidR="00664892">
        <w:rPr>
          <w:b/>
        </w:rPr>
        <w:t>5</w:t>
      </w:r>
    </w:p>
    <w:p w:rsidR="004057C0" w:rsidRPr="004057C0" w:rsidRDefault="007602E2" w:rsidP="000C06E2">
      <w:pPr>
        <w:pStyle w:val="1"/>
        <w:rPr>
          <w:lang w:eastAsia="ru-RU"/>
        </w:rPr>
      </w:pPr>
      <w:hyperlink w:anchor="_Toc403654416" w:history="1">
        <w:r w:rsidR="004057C0" w:rsidRPr="004057C0">
          <w:rPr>
            <w:rStyle w:val="a4"/>
            <w:bCs/>
          </w:rPr>
          <w:t>3.</w:t>
        </w:r>
        <w:r w:rsidR="004057C0" w:rsidRPr="004057C0">
          <w:rPr>
            <w:lang w:eastAsia="ru-RU"/>
          </w:rPr>
          <w:tab/>
        </w:r>
        <w:r w:rsidR="004057C0" w:rsidRPr="004057C0">
          <w:rPr>
            <w:rStyle w:val="a4"/>
            <w:bCs/>
          </w:rPr>
          <w:t>Сельское хозяйство</w:t>
        </w:r>
        <w:r w:rsidR="004057C0" w:rsidRPr="004057C0">
          <w:rPr>
            <w:webHidden/>
          </w:rPr>
          <w:tab/>
        </w:r>
      </w:hyperlink>
      <w:r w:rsidR="00644EE6">
        <w:rPr>
          <w:b/>
        </w:rPr>
        <w:t>10</w:t>
      </w:r>
    </w:p>
    <w:p w:rsidR="004057C0" w:rsidRPr="004057C0" w:rsidRDefault="007602E2" w:rsidP="000C06E2">
      <w:pPr>
        <w:pStyle w:val="1"/>
        <w:rPr>
          <w:lang w:eastAsia="ru-RU"/>
        </w:rPr>
      </w:pPr>
      <w:hyperlink w:anchor="_Toc403654417" w:history="1">
        <w:r w:rsidR="004057C0" w:rsidRPr="004057C0">
          <w:rPr>
            <w:rStyle w:val="a4"/>
            <w:bCs/>
          </w:rPr>
          <w:t>4.</w:t>
        </w:r>
        <w:r w:rsidR="004057C0" w:rsidRPr="004057C0">
          <w:rPr>
            <w:lang w:eastAsia="ru-RU"/>
          </w:rPr>
          <w:tab/>
        </w:r>
        <w:r w:rsidR="004057C0" w:rsidRPr="004057C0">
          <w:rPr>
            <w:rStyle w:val="a4"/>
            <w:bCs/>
          </w:rPr>
          <w:t>Жилищное строительство</w:t>
        </w:r>
        <w:r w:rsidR="004057C0" w:rsidRPr="004057C0">
          <w:rPr>
            <w:webHidden/>
          </w:rPr>
          <w:tab/>
        </w:r>
      </w:hyperlink>
      <w:r w:rsidR="00644EE6">
        <w:rPr>
          <w:b/>
        </w:rPr>
        <w:t>11</w:t>
      </w:r>
    </w:p>
    <w:p w:rsidR="004057C0" w:rsidRPr="004057C0" w:rsidRDefault="007602E2" w:rsidP="000C06E2">
      <w:pPr>
        <w:pStyle w:val="1"/>
        <w:rPr>
          <w:lang w:eastAsia="ru-RU"/>
        </w:rPr>
      </w:pPr>
      <w:hyperlink w:anchor="_Toc403654418" w:history="1">
        <w:r w:rsidR="004057C0" w:rsidRPr="004057C0">
          <w:rPr>
            <w:rStyle w:val="a4"/>
            <w:bCs/>
          </w:rPr>
          <w:t>5.</w:t>
        </w:r>
        <w:r w:rsidR="004057C0" w:rsidRPr="004057C0">
          <w:rPr>
            <w:lang w:eastAsia="ru-RU"/>
          </w:rPr>
          <w:tab/>
        </w:r>
        <w:r w:rsidR="004057C0" w:rsidRPr="004057C0">
          <w:rPr>
            <w:rStyle w:val="a4"/>
            <w:bCs/>
          </w:rPr>
          <w:t>Инвестиции</w:t>
        </w:r>
        <w:r w:rsidR="004057C0" w:rsidRPr="004057C0">
          <w:rPr>
            <w:webHidden/>
          </w:rPr>
          <w:tab/>
        </w:r>
        <w:r w:rsidR="004057C0" w:rsidRPr="004057C0">
          <w:rPr>
            <w:b/>
            <w:webHidden/>
          </w:rPr>
          <w:t>1</w:t>
        </w:r>
      </w:hyperlink>
      <w:r w:rsidR="00644EE6">
        <w:rPr>
          <w:b/>
        </w:rPr>
        <w:t>1</w:t>
      </w:r>
    </w:p>
    <w:p w:rsidR="004057C0" w:rsidRDefault="007602E2" w:rsidP="000C06E2">
      <w:pPr>
        <w:pStyle w:val="1"/>
        <w:rPr>
          <w:b/>
        </w:rPr>
      </w:pPr>
      <w:hyperlink w:anchor="_Toc403654419" w:history="1">
        <w:r w:rsidR="004057C0" w:rsidRPr="004057C0">
          <w:rPr>
            <w:rStyle w:val="a4"/>
            <w:bCs/>
          </w:rPr>
          <w:t>6.</w:t>
        </w:r>
        <w:r w:rsidR="004057C0" w:rsidRPr="004057C0">
          <w:rPr>
            <w:lang w:eastAsia="ru-RU"/>
          </w:rPr>
          <w:tab/>
        </w:r>
        <w:r w:rsidR="004057C0" w:rsidRPr="004057C0">
          <w:rPr>
            <w:rStyle w:val="a4"/>
            <w:bCs/>
          </w:rPr>
          <w:t>Транспорт и связь</w:t>
        </w:r>
        <w:r w:rsidR="004057C0" w:rsidRPr="004057C0">
          <w:rPr>
            <w:webHidden/>
          </w:rPr>
          <w:tab/>
        </w:r>
        <w:r w:rsidR="004057C0" w:rsidRPr="004057C0">
          <w:rPr>
            <w:b/>
            <w:webHidden/>
          </w:rPr>
          <w:t>1</w:t>
        </w:r>
      </w:hyperlink>
      <w:r w:rsidR="00644EE6">
        <w:rPr>
          <w:b/>
        </w:rPr>
        <w:t>3</w:t>
      </w:r>
    </w:p>
    <w:p w:rsidR="004057C0" w:rsidRPr="004057C0" w:rsidRDefault="007602E2" w:rsidP="000C06E2">
      <w:pPr>
        <w:pStyle w:val="1"/>
        <w:rPr>
          <w:lang w:eastAsia="ru-RU"/>
        </w:rPr>
      </w:pPr>
      <w:hyperlink w:anchor="_Toc403654420" w:history="1">
        <w:r w:rsidR="004057C0" w:rsidRPr="004057C0">
          <w:rPr>
            <w:rStyle w:val="a4"/>
            <w:bCs/>
          </w:rPr>
          <w:t>7.</w:t>
        </w:r>
        <w:r w:rsidR="004057C0" w:rsidRPr="004057C0">
          <w:rPr>
            <w:lang w:eastAsia="ru-RU"/>
          </w:rPr>
          <w:tab/>
        </w:r>
        <w:r w:rsidR="004057C0" w:rsidRPr="004057C0">
          <w:rPr>
            <w:rStyle w:val="a4"/>
            <w:bCs/>
          </w:rPr>
          <w:t>Малое предпринимательство</w:t>
        </w:r>
        <w:r w:rsidR="004057C0" w:rsidRPr="004057C0">
          <w:rPr>
            <w:webHidden/>
          </w:rPr>
          <w:tab/>
        </w:r>
        <w:r w:rsidR="004057C0" w:rsidRPr="004057C0">
          <w:rPr>
            <w:b/>
            <w:webHidden/>
          </w:rPr>
          <w:t>1</w:t>
        </w:r>
      </w:hyperlink>
      <w:r w:rsidR="008D05AD">
        <w:rPr>
          <w:b/>
        </w:rPr>
        <w:t>6</w:t>
      </w:r>
    </w:p>
    <w:p w:rsidR="004057C0" w:rsidRPr="004057C0" w:rsidRDefault="007602E2" w:rsidP="000C06E2">
      <w:pPr>
        <w:pStyle w:val="1"/>
        <w:rPr>
          <w:lang w:eastAsia="ru-RU"/>
        </w:rPr>
      </w:pPr>
      <w:hyperlink w:anchor="_Toc403654421" w:history="1">
        <w:r w:rsidR="004057C0" w:rsidRPr="004057C0">
          <w:rPr>
            <w:rStyle w:val="a4"/>
            <w:bCs/>
          </w:rPr>
          <w:t>8.</w:t>
        </w:r>
        <w:r w:rsidR="004057C0" w:rsidRPr="004057C0">
          <w:rPr>
            <w:lang w:eastAsia="ru-RU"/>
          </w:rPr>
          <w:tab/>
        </w:r>
        <w:r w:rsidR="004057C0" w:rsidRPr="004057C0">
          <w:rPr>
            <w:rStyle w:val="a4"/>
            <w:bCs/>
          </w:rPr>
          <w:t>Внешнеэкономическая деятельность</w:t>
        </w:r>
        <w:r w:rsidR="004057C0" w:rsidRPr="004057C0">
          <w:rPr>
            <w:webHidden/>
          </w:rPr>
          <w:tab/>
        </w:r>
        <w:r w:rsidR="004057C0" w:rsidRPr="004057C0">
          <w:rPr>
            <w:b/>
            <w:webHidden/>
          </w:rPr>
          <w:t>1</w:t>
        </w:r>
      </w:hyperlink>
      <w:r w:rsidR="008D05AD">
        <w:rPr>
          <w:b/>
        </w:rPr>
        <w:t>8</w:t>
      </w:r>
    </w:p>
    <w:p w:rsidR="004057C0" w:rsidRPr="004057C0" w:rsidRDefault="007602E2" w:rsidP="000C06E2">
      <w:pPr>
        <w:pStyle w:val="1"/>
        <w:rPr>
          <w:lang w:eastAsia="ru-RU"/>
        </w:rPr>
      </w:pPr>
      <w:hyperlink w:anchor="_Toc403654422" w:history="1">
        <w:r w:rsidR="004057C0" w:rsidRPr="004057C0">
          <w:rPr>
            <w:rStyle w:val="a4"/>
            <w:bCs/>
          </w:rPr>
          <w:t>9.</w:t>
        </w:r>
        <w:r w:rsidR="004057C0" w:rsidRPr="004057C0">
          <w:rPr>
            <w:lang w:eastAsia="ru-RU"/>
          </w:rPr>
          <w:tab/>
        </w:r>
        <w:r w:rsidR="004057C0" w:rsidRPr="004057C0">
          <w:rPr>
            <w:rStyle w:val="a4"/>
            <w:bCs/>
          </w:rPr>
          <w:t>Результаты финансовой деятельности предприятий</w:t>
        </w:r>
        <w:r w:rsidR="004057C0" w:rsidRPr="004057C0">
          <w:rPr>
            <w:webHidden/>
          </w:rPr>
          <w:tab/>
        </w:r>
        <w:r w:rsidR="004057C0" w:rsidRPr="004057C0">
          <w:rPr>
            <w:b/>
            <w:webHidden/>
          </w:rPr>
          <w:t>1</w:t>
        </w:r>
      </w:hyperlink>
      <w:r w:rsidR="008D05AD">
        <w:rPr>
          <w:b/>
        </w:rPr>
        <w:t>9</w:t>
      </w:r>
    </w:p>
    <w:p w:rsidR="004057C0" w:rsidRPr="004057C0" w:rsidRDefault="007602E2" w:rsidP="000C06E2">
      <w:pPr>
        <w:pStyle w:val="1"/>
        <w:rPr>
          <w:b/>
        </w:rPr>
      </w:pPr>
      <w:hyperlink w:anchor="_Toc403654423" w:history="1">
        <w:r w:rsidR="004057C0" w:rsidRPr="004057C0">
          <w:rPr>
            <w:rStyle w:val="a4"/>
            <w:bCs/>
          </w:rPr>
          <w:t>10.</w:t>
        </w:r>
        <w:r w:rsidR="004057C0" w:rsidRPr="004057C0">
          <w:rPr>
            <w:lang w:eastAsia="ru-RU"/>
          </w:rPr>
          <w:tab/>
        </w:r>
        <w:r w:rsidR="004057C0" w:rsidRPr="004057C0">
          <w:rPr>
            <w:rStyle w:val="a4"/>
            <w:bCs/>
          </w:rPr>
          <w:t>Бюджет муниципального образования.</w:t>
        </w:r>
        <w:r w:rsidR="004057C0" w:rsidRPr="004057C0">
          <w:rPr>
            <w:webHidden/>
          </w:rPr>
          <w:tab/>
        </w:r>
        <w:r w:rsidR="004057C0" w:rsidRPr="004057C0">
          <w:rPr>
            <w:b/>
            <w:webHidden/>
          </w:rPr>
          <w:t>1</w:t>
        </w:r>
      </w:hyperlink>
      <w:r w:rsidR="008D05AD">
        <w:rPr>
          <w:b/>
        </w:rPr>
        <w:t>9</w:t>
      </w:r>
    </w:p>
    <w:p w:rsidR="004057C0" w:rsidRPr="004057C0" w:rsidRDefault="004057C0" w:rsidP="000C06E2">
      <w:pPr>
        <w:tabs>
          <w:tab w:val="left" w:pos="426"/>
        </w:tabs>
        <w:spacing w:before="240" w:after="0"/>
        <w:jc w:val="both"/>
        <w:rPr>
          <w:rFonts w:ascii="Times New Roman" w:hAnsi="Times New Roman" w:cs="Times New Roman"/>
          <w:sz w:val="28"/>
          <w:szCs w:val="28"/>
        </w:rPr>
      </w:pPr>
      <w:r w:rsidRPr="004057C0">
        <w:rPr>
          <w:rFonts w:ascii="Times New Roman" w:hAnsi="Times New Roman" w:cs="Times New Roman"/>
          <w:sz w:val="28"/>
          <w:szCs w:val="28"/>
        </w:rPr>
        <w:t>11.</w:t>
      </w:r>
      <w:r w:rsidRPr="004057C0">
        <w:rPr>
          <w:rFonts w:ascii="Times New Roman" w:hAnsi="Times New Roman" w:cs="Times New Roman"/>
          <w:sz w:val="28"/>
          <w:szCs w:val="28"/>
        </w:rPr>
        <w:tab/>
        <w:t>Общественное питание</w:t>
      </w:r>
      <w:r w:rsidR="0054197F">
        <w:rPr>
          <w:rFonts w:ascii="Times New Roman" w:hAnsi="Times New Roman" w:cs="Times New Roman"/>
          <w:sz w:val="28"/>
          <w:szCs w:val="28"/>
        </w:rPr>
        <w:t>…………………………………………………………</w:t>
      </w:r>
      <w:r w:rsidR="008D05AD">
        <w:rPr>
          <w:rFonts w:ascii="Times New Roman" w:hAnsi="Times New Roman" w:cs="Times New Roman"/>
          <w:b/>
          <w:sz w:val="28"/>
          <w:szCs w:val="28"/>
        </w:rPr>
        <w:t>20</w:t>
      </w:r>
    </w:p>
    <w:p w:rsidR="004057C0" w:rsidRPr="004057C0" w:rsidRDefault="007602E2" w:rsidP="000C06E2">
      <w:pPr>
        <w:pStyle w:val="1"/>
        <w:rPr>
          <w:lang w:eastAsia="ru-RU"/>
        </w:rPr>
      </w:pPr>
      <w:hyperlink w:anchor="_Toc403654424" w:history="1">
        <w:r w:rsidR="004057C0" w:rsidRPr="004057C0">
          <w:rPr>
            <w:rStyle w:val="a4"/>
            <w:bCs/>
          </w:rPr>
          <w:t>12.</w:t>
        </w:r>
        <w:r w:rsidR="004057C0" w:rsidRPr="004057C0">
          <w:rPr>
            <w:lang w:eastAsia="ru-RU"/>
          </w:rPr>
          <w:tab/>
        </w:r>
        <w:r w:rsidR="004057C0" w:rsidRPr="004057C0">
          <w:rPr>
            <w:rStyle w:val="a4"/>
            <w:bCs/>
          </w:rPr>
          <w:t>Розничная торговля</w:t>
        </w:r>
        <w:r w:rsidR="004057C0" w:rsidRPr="004057C0">
          <w:rPr>
            <w:webHidden/>
          </w:rPr>
          <w:tab/>
        </w:r>
      </w:hyperlink>
      <w:r w:rsidR="008D05AD">
        <w:rPr>
          <w:b/>
        </w:rPr>
        <w:t>20</w:t>
      </w:r>
    </w:p>
    <w:p w:rsidR="004057C0" w:rsidRPr="004057C0" w:rsidRDefault="007602E2" w:rsidP="000C06E2">
      <w:pPr>
        <w:pStyle w:val="1"/>
        <w:rPr>
          <w:lang w:eastAsia="ru-RU"/>
        </w:rPr>
      </w:pPr>
      <w:hyperlink w:anchor="_Toc403654425" w:history="1">
        <w:r w:rsidR="004057C0" w:rsidRPr="004057C0">
          <w:rPr>
            <w:rStyle w:val="a4"/>
            <w:bCs/>
          </w:rPr>
          <w:t>13.</w:t>
        </w:r>
        <w:r w:rsidR="004057C0" w:rsidRPr="004057C0">
          <w:rPr>
            <w:lang w:eastAsia="ru-RU"/>
          </w:rPr>
          <w:tab/>
        </w:r>
        <w:r w:rsidR="004057C0" w:rsidRPr="004057C0">
          <w:rPr>
            <w:rStyle w:val="a4"/>
            <w:bCs/>
          </w:rPr>
          <w:t>Платные услуги населению</w:t>
        </w:r>
        <w:r w:rsidR="004057C0" w:rsidRPr="004057C0">
          <w:rPr>
            <w:webHidden/>
          </w:rPr>
          <w:tab/>
        </w:r>
        <w:r w:rsidR="004057C0" w:rsidRPr="004057C0">
          <w:rPr>
            <w:b/>
            <w:webHidden/>
          </w:rPr>
          <w:t>2</w:t>
        </w:r>
      </w:hyperlink>
      <w:r w:rsidR="008D05AD">
        <w:rPr>
          <w:b/>
        </w:rPr>
        <w:t>1</w:t>
      </w:r>
    </w:p>
    <w:p w:rsidR="004057C0" w:rsidRPr="004057C0" w:rsidRDefault="007602E2" w:rsidP="000C06E2">
      <w:pPr>
        <w:pStyle w:val="1"/>
        <w:rPr>
          <w:lang w:eastAsia="ru-RU"/>
        </w:rPr>
      </w:pPr>
      <w:hyperlink w:anchor="_Toc403654426" w:history="1">
        <w:r w:rsidR="004057C0" w:rsidRPr="004057C0">
          <w:rPr>
            <w:rStyle w:val="a4"/>
            <w:bCs/>
          </w:rPr>
          <w:t>14.</w:t>
        </w:r>
        <w:r w:rsidR="004057C0" w:rsidRPr="004057C0">
          <w:rPr>
            <w:lang w:eastAsia="ru-RU"/>
          </w:rPr>
          <w:tab/>
        </w:r>
        <w:r w:rsidR="004057C0" w:rsidRPr="004057C0">
          <w:rPr>
            <w:rStyle w:val="a4"/>
            <w:bCs/>
          </w:rPr>
          <w:t>Уровень жизни населения</w:t>
        </w:r>
        <w:r w:rsidR="004057C0" w:rsidRPr="004057C0">
          <w:rPr>
            <w:webHidden/>
          </w:rPr>
          <w:tab/>
        </w:r>
        <w:r w:rsidR="004057C0" w:rsidRPr="004057C0">
          <w:rPr>
            <w:b/>
            <w:webHidden/>
          </w:rPr>
          <w:t>2</w:t>
        </w:r>
      </w:hyperlink>
      <w:r w:rsidR="00EF4D58">
        <w:rPr>
          <w:b/>
        </w:rPr>
        <w:t>2</w:t>
      </w:r>
    </w:p>
    <w:p w:rsidR="004057C0" w:rsidRPr="004057C0" w:rsidRDefault="007602E2" w:rsidP="000C06E2">
      <w:pPr>
        <w:pStyle w:val="1"/>
        <w:rPr>
          <w:lang w:eastAsia="ru-RU"/>
        </w:rPr>
      </w:pPr>
      <w:hyperlink w:anchor="_Toc403654427" w:history="1">
        <w:r w:rsidR="004057C0" w:rsidRPr="004057C0">
          <w:rPr>
            <w:rStyle w:val="a4"/>
            <w:bCs/>
          </w:rPr>
          <w:t>15.</w:t>
        </w:r>
        <w:r w:rsidR="004057C0" w:rsidRPr="004057C0">
          <w:rPr>
            <w:lang w:eastAsia="ru-RU"/>
          </w:rPr>
          <w:tab/>
        </w:r>
        <w:r w:rsidR="004057C0" w:rsidRPr="004057C0">
          <w:rPr>
            <w:rStyle w:val="a4"/>
            <w:bCs/>
          </w:rPr>
          <w:t>Рынок труда</w:t>
        </w:r>
        <w:r w:rsidR="004057C0" w:rsidRPr="004057C0">
          <w:rPr>
            <w:webHidden/>
          </w:rPr>
          <w:tab/>
        </w:r>
        <w:r w:rsidR="004057C0" w:rsidRPr="004057C0">
          <w:rPr>
            <w:b/>
            <w:webHidden/>
          </w:rPr>
          <w:t>2</w:t>
        </w:r>
      </w:hyperlink>
      <w:r w:rsidR="00EF4D58">
        <w:rPr>
          <w:b/>
        </w:rPr>
        <w:t>3</w:t>
      </w:r>
    </w:p>
    <w:p w:rsidR="004057C0" w:rsidRPr="004057C0" w:rsidRDefault="007602E2" w:rsidP="000C06E2">
      <w:pPr>
        <w:pStyle w:val="1"/>
        <w:rPr>
          <w:lang w:eastAsia="ru-RU"/>
        </w:rPr>
      </w:pPr>
      <w:hyperlink w:anchor="_Toc403654428" w:history="1">
        <w:r w:rsidR="004057C0" w:rsidRPr="004057C0">
          <w:rPr>
            <w:rStyle w:val="a4"/>
            <w:bCs/>
          </w:rPr>
          <w:t>16.</w:t>
        </w:r>
        <w:r w:rsidR="004057C0" w:rsidRPr="004057C0">
          <w:rPr>
            <w:lang w:eastAsia="ru-RU"/>
          </w:rPr>
          <w:tab/>
        </w:r>
        <w:r w:rsidR="004057C0" w:rsidRPr="004057C0">
          <w:rPr>
            <w:rStyle w:val="a4"/>
            <w:bCs/>
          </w:rPr>
          <w:t>Демографическая ситуация</w:t>
        </w:r>
        <w:r w:rsidR="004057C0" w:rsidRPr="004057C0">
          <w:rPr>
            <w:webHidden/>
          </w:rPr>
          <w:tab/>
        </w:r>
        <w:r w:rsidR="004057C0" w:rsidRPr="004057C0">
          <w:rPr>
            <w:b/>
            <w:webHidden/>
          </w:rPr>
          <w:t>2</w:t>
        </w:r>
      </w:hyperlink>
      <w:r w:rsidR="00EF4D58">
        <w:rPr>
          <w:b/>
        </w:rPr>
        <w:t>5</w:t>
      </w:r>
    </w:p>
    <w:p w:rsidR="004057C0" w:rsidRPr="004057C0" w:rsidRDefault="007602E2" w:rsidP="000C06E2">
      <w:pPr>
        <w:pStyle w:val="1"/>
        <w:rPr>
          <w:lang w:eastAsia="ru-RU"/>
        </w:rPr>
      </w:pPr>
      <w:hyperlink w:anchor="_Toc403654430" w:history="1">
        <w:r w:rsidR="004057C0" w:rsidRPr="004057C0">
          <w:rPr>
            <w:rStyle w:val="a4"/>
            <w:bCs/>
          </w:rPr>
          <w:t>17.</w:t>
        </w:r>
        <w:r w:rsidR="004057C0" w:rsidRPr="004057C0">
          <w:rPr>
            <w:lang w:eastAsia="ru-RU"/>
          </w:rPr>
          <w:tab/>
        </w:r>
        <w:r w:rsidR="004057C0" w:rsidRPr="004057C0">
          <w:rPr>
            <w:rStyle w:val="a4"/>
            <w:bCs/>
          </w:rPr>
          <w:t>Образование</w:t>
        </w:r>
        <w:r w:rsidR="004057C0" w:rsidRPr="004057C0">
          <w:rPr>
            <w:webHidden/>
          </w:rPr>
          <w:tab/>
        </w:r>
        <w:r w:rsidR="004057C0" w:rsidRPr="004057C0">
          <w:rPr>
            <w:b/>
            <w:webHidden/>
          </w:rPr>
          <w:t>2</w:t>
        </w:r>
      </w:hyperlink>
      <w:r w:rsidR="00EF4D58">
        <w:rPr>
          <w:b/>
        </w:rPr>
        <w:t>6</w:t>
      </w:r>
    </w:p>
    <w:p w:rsidR="004057C0" w:rsidRPr="004057C0" w:rsidRDefault="007602E2" w:rsidP="000C06E2">
      <w:pPr>
        <w:pStyle w:val="1"/>
        <w:rPr>
          <w:b/>
        </w:rPr>
      </w:pPr>
      <w:hyperlink w:anchor="_Toc403654431" w:history="1">
        <w:r w:rsidR="004057C0" w:rsidRPr="004057C0">
          <w:rPr>
            <w:rStyle w:val="a4"/>
            <w:bCs/>
          </w:rPr>
          <w:t>18.</w:t>
        </w:r>
        <w:r w:rsidR="004057C0" w:rsidRPr="004057C0">
          <w:rPr>
            <w:lang w:eastAsia="ru-RU"/>
          </w:rPr>
          <w:tab/>
        </w:r>
        <w:r w:rsidR="004057C0" w:rsidRPr="004057C0">
          <w:rPr>
            <w:rStyle w:val="a4"/>
            <w:bCs/>
          </w:rPr>
          <w:t>Культура</w:t>
        </w:r>
        <w:r w:rsidR="004057C0" w:rsidRPr="004057C0">
          <w:rPr>
            <w:webHidden/>
          </w:rPr>
          <w:tab/>
        </w:r>
      </w:hyperlink>
      <w:r w:rsidR="00EF4D58">
        <w:rPr>
          <w:b/>
        </w:rPr>
        <w:t>27</w:t>
      </w:r>
    </w:p>
    <w:p w:rsidR="004057C0" w:rsidRPr="004057C0" w:rsidRDefault="004057C0" w:rsidP="000C06E2">
      <w:pPr>
        <w:pStyle w:val="1"/>
      </w:pPr>
      <w:r w:rsidRPr="004057C0">
        <w:t>19. Физическая культура и спорт.</w:t>
      </w:r>
      <w:r w:rsidRPr="004057C0">
        <w:tab/>
      </w:r>
      <w:r w:rsidR="00EF4D58">
        <w:rPr>
          <w:b/>
        </w:rPr>
        <w:t>30</w:t>
      </w:r>
    </w:p>
    <w:p w:rsidR="004057C0" w:rsidRPr="004057C0" w:rsidRDefault="004057C0" w:rsidP="000C06E2">
      <w:pPr>
        <w:pStyle w:val="1"/>
      </w:pPr>
      <w:r w:rsidRPr="004057C0">
        <w:t>20. Социальная защита населения.</w:t>
      </w:r>
      <w:r w:rsidRPr="004057C0">
        <w:tab/>
      </w:r>
      <w:r w:rsidR="00EF4D58">
        <w:rPr>
          <w:b/>
        </w:rPr>
        <w:t>31</w:t>
      </w:r>
    </w:p>
    <w:p w:rsidR="004057C0" w:rsidRPr="004057C0" w:rsidRDefault="004057C0" w:rsidP="000C06E2">
      <w:pPr>
        <w:tabs>
          <w:tab w:val="left" w:pos="426"/>
        </w:tabs>
        <w:spacing w:before="240" w:after="0"/>
        <w:jc w:val="both"/>
        <w:rPr>
          <w:rFonts w:ascii="Times New Roman" w:hAnsi="Times New Roman" w:cs="Times New Roman"/>
          <w:sz w:val="28"/>
          <w:szCs w:val="28"/>
        </w:rPr>
      </w:pPr>
      <w:r w:rsidRPr="004057C0">
        <w:rPr>
          <w:rFonts w:ascii="Times New Roman" w:hAnsi="Times New Roman" w:cs="Times New Roman"/>
          <w:sz w:val="28"/>
          <w:szCs w:val="28"/>
        </w:rPr>
        <w:t>21.</w:t>
      </w:r>
      <w:r w:rsidRPr="004057C0">
        <w:rPr>
          <w:rFonts w:ascii="Times New Roman" w:hAnsi="Times New Roman" w:cs="Times New Roman"/>
          <w:sz w:val="28"/>
          <w:szCs w:val="28"/>
        </w:rPr>
        <w:tab/>
        <w:t>Жилищно-коммунальное хозяйство</w:t>
      </w:r>
      <w:r w:rsidR="00A94BDD">
        <w:rPr>
          <w:rFonts w:ascii="Times New Roman" w:hAnsi="Times New Roman" w:cs="Times New Roman"/>
          <w:sz w:val="28"/>
          <w:szCs w:val="28"/>
        </w:rPr>
        <w:t>………………………………………...…</w:t>
      </w:r>
      <w:r w:rsidR="00EF4D58">
        <w:rPr>
          <w:rFonts w:ascii="Times New Roman" w:hAnsi="Times New Roman" w:cs="Times New Roman"/>
          <w:b/>
          <w:sz w:val="28"/>
          <w:szCs w:val="28"/>
        </w:rPr>
        <w:t>32</w:t>
      </w:r>
    </w:p>
    <w:p w:rsidR="004057C0" w:rsidRPr="004057C0" w:rsidRDefault="004057C0" w:rsidP="000C06E2">
      <w:pPr>
        <w:tabs>
          <w:tab w:val="left" w:pos="426"/>
        </w:tabs>
        <w:spacing w:before="240" w:after="0"/>
        <w:jc w:val="both"/>
        <w:rPr>
          <w:rFonts w:ascii="Times New Roman" w:hAnsi="Times New Roman" w:cs="Times New Roman"/>
          <w:sz w:val="28"/>
          <w:szCs w:val="28"/>
        </w:rPr>
      </w:pPr>
      <w:r w:rsidRPr="004057C0">
        <w:rPr>
          <w:rFonts w:ascii="Times New Roman" w:hAnsi="Times New Roman" w:cs="Times New Roman"/>
          <w:sz w:val="28"/>
          <w:szCs w:val="28"/>
        </w:rPr>
        <w:t>22.</w:t>
      </w:r>
      <w:r w:rsidRPr="004057C0">
        <w:rPr>
          <w:rFonts w:ascii="Times New Roman" w:hAnsi="Times New Roman" w:cs="Times New Roman"/>
          <w:sz w:val="28"/>
          <w:szCs w:val="28"/>
        </w:rPr>
        <w:tab/>
        <w:t>Экологическая ситуация</w:t>
      </w:r>
      <w:r w:rsidR="00A94BDD">
        <w:rPr>
          <w:rFonts w:ascii="Times New Roman" w:hAnsi="Times New Roman" w:cs="Times New Roman"/>
          <w:sz w:val="28"/>
          <w:szCs w:val="28"/>
        </w:rPr>
        <w:t>………………………………………………………</w:t>
      </w:r>
      <w:r w:rsidR="00EF4D58">
        <w:rPr>
          <w:rFonts w:ascii="Times New Roman" w:hAnsi="Times New Roman" w:cs="Times New Roman"/>
          <w:b/>
          <w:sz w:val="28"/>
          <w:szCs w:val="28"/>
        </w:rPr>
        <w:t>35</w:t>
      </w:r>
    </w:p>
    <w:p w:rsidR="004057C0" w:rsidRPr="004057C0" w:rsidRDefault="004057C0" w:rsidP="000C06E2">
      <w:pPr>
        <w:tabs>
          <w:tab w:val="left" w:pos="426"/>
        </w:tabs>
        <w:spacing w:before="240" w:after="0"/>
        <w:jc w:val="both"/>
        <w:rPr>
          <w:rFonts w:ascii="Times New Roman" w:hAnsi="Times New Roman" w:cs="Times New Roman"/>
          <w:sz w:val="28"/>
          <w:szCs w:val="28"/>
        </w:rPr>
      </w:pPr>
      <w:r w:rsidRPr="004057C0">
        <w:rPr>
          <w:rFonts w:ascii="Times New Roman" w:hAnsi="Times New Roman" w:cs="Times New Roman"/>
          <w:sz w:val="28"/>
          <w:szCs w:val="28"/>
        </w:rPr>
        <w:t>23.</w:t>
      </w:r>
      <w:r w:rsidRPr="004057C0">
        <w:rPr>
          <w:rFonts w:ascii="Times New Roman" w:hAnsi="Times New Roman" w:cs="Times New Roman"/>
          <w:sz w:val="28"/>
          <w:szCs w:val="28"/>
        </w:rPr>
        <w:tab/>
        <w:t>Правонарушения</w:t>
      </w:r>
      <w:r w:rsidR="00A94BDD">
        <w:rPr>
          <w:rFonts w:ascii="Times New Roman" w:hAnsi="Times New Roman" w:cs="Times New Roman"/>
          <w:sz w:val="28"/>
          <w:szCs w:val="28"/>
        </w:rPr>
        <w:t>……………………………………………………………….</w:t>
      </w:r>
      <w:r w:rsidR="00EF4D58">
        <w:rPr>
          <w:rFonts w:ascii="Times New Roman" w:hAnsi="Times New Roman" w:cs="Times New Roman"/>
          <w:b/>
          <w:sz w:val="28"/>
          <w:szCs w:val="28"/>
        </w:rPr>
        <w:t>37</w:t>
      </w:r>
    </w:p>
    <w:p w:rsidR="004057C0" w:rsidRPr="004057C0" w:rsidRDefault="004057C0" w:rsidP="000C06E2">
      <w:pPr>
        <w:tabs>
          <w:tab w:val="left" w:pos="426"/>
        </w:tabs>
        <w:spacing w:before="240" w:after="0"/>
        <w:jc w:val="both"/>
        <w:rPr>
          <w:rFonts w:ascii="Times New Roman" w:hAnsi="Times New Roman" w:cs="Times New Roman"/>
          <w:sz w:val="28"/>
          <w:szCs w:val="28"/>
        </w:rPr>
      </w:pPr>
      <w:r w:rsidRPr="004057C0">
        <w:rPr>
          <w:rFonts w:ascii="Times New Roman" w:hAnsi="Times New Roman" w:cs="Times New Roman"/>
          <w:sz w:val="28"/>
          <w:szCs w:val="28"/>
        </w:rPr>
        <w:t>24.</w:t>
      </w:r>
      <w:r w:rsidRPr="004057C0">
        <w:rPr>
          <w:rFonts w:ascii="Times New Roman" w:hAnsi="Times New Roman" w:cs="Times New Roman"/>
          <w:sz w:val="28"/>
          <w:szCs w:val="28"/>
        </w:rPr>
        <w:tab/>
        <w:t xml:space="preserve"> Основные проблемы развития муниципального образования</w:t>
      </w:r>
      <w:r w:rsidR="00A94BDD">
        <w:rPr>
          <w:rFonts w:ascii="Times New Roman" w:hAnsi="Times New Roman" w:cs="Times New Roman"/>
          <w:sz w:val="28"/>
          <w:szCs w:val="28"/>
        </w:rPr>
        <w:t>……………...</w:t>
      </w:r>
      <w:r w:rsidR="00EF4D58">
        <w:rPr>
          <w:rFonts w:ascii="Times New Roman" w:hAnsi="Times New Roman" w:cs="Times New Roman"/>
          <w:b/>
          <w:sz w:val="28"/>
          <w:szCs w:val="28"/>
        </w:rPr>
        <w:t>38</w:t>
      </w:r>
    </w:p>
    <w:p w:rsidR="004057C0" w:rsidRPr="004057C0" w:rsidRDefault="007602E2" w:rsidP="000C06E2">
      <w:pPr>
        <w:pStyle w:val="1"/>
        <w:rPr>
          <w:b/>
        </w:rPr>
      </w:pPr>
      <w:hyperlink w:anchor="_Toc403654433" w:history="1">
        <w:r w:rsidR="004057C0" w:rsidRPr="004057C0">
          <w:rPr>
            <w:rStyle w:val="a4"/>
            <w:bCs/>
          </w:rPr>
          <w:t>25</w:t>
        </w:r>
        <w:r w:rsidR="004057C0">
          <w:rPr>
            <w:rStyle w:val="a4"/>
            <w:bCs/>
          </w:rPr>
          <w:t xml:space="preserve">. </w:t>
        </w:r>
        <w:r w:rsidR="004057C0" w:rsidRPr="004057C0">
          <w:rPr>
            <w:rStyle w:val="a4"/>
            <w:bCs/>
          </w:rPr>
          <w:t>Перспективы социально-экономического развития муниципального образования</w:t>
        </w:r>
        <w:r w:rsidR="004057C0" w:rsidRPr="004057C0">
          <w:rPr>
            <w:webHidden/>
          </w:rPr>
          <w:tab/>
        </w:r>
      </w:hyperlink>
      <w:r w:rsidR="004057C0" w:rsidRPr="004057C0">
        <w:rPr>
          <w:b/>
        </w:rPr>
        <w:t>3</w:t>
      </w:r>
      <w:r w:rsidR="00EF4D58">
        <w:rPr>
          <w:b/>
        </w:rPr>
        <w:t>9</w:t>
      </w:r>
    </w:p>
    <w:p w:rsidR="004057C0" w:rsidRDefault="004057C0" w:rsidP="000C06E2">
      <w:pPr>
        <w:spacing w:before="240" w:after="0"/>
        <w:jc w:val="both"/>
        <w:rPr>
          <w:rFonts w:ascii="Times New Roman" w:hAnsi="Times New Roman" w:cs="Times New Roman"/>
          <w:b/>
          <w:sz w:val="28"/>
          <w:szCs w:val="28"/>
        </w:rPr>
      </w:pPr>
      <w:r w:rsidRPr="004057C0">
        <w:rPr>
          <w:rFonts w:ascii="Times New Roman" w:hAnsi="Times New Roman" w:cs="Times New Roman"/>
          <w:sz w:val="28"/>
          <w:szCs w:val="28"/>
        </w:rPr>
        <w:t>26. Проблемы при формировании мониторинга социально-экономического развития муниципального образования……………………………………</w:t>
      </w:r>
      <w:r>
        <w:rPr>
          <w:rFonts w:ascii="Times New Roman" w:hAnsi="Times New Roman" w:cs="Times New Roman"/>
          <w:sz w:val="28"/>
          <w:szCs w:val="28"/>
        </w:rPr>
        <w:t>…</w:t>
      </w:r>
      <w:r w:rsidR="00B40871">
        <w:rPr>
          <w:rFonts w:ascii="Times New Roman" w:hAnsi="Times New Roman" w:cs="Times New Roman"/>
          <w:sz w:val="28"/>
          <w:szCs w:val="28"/>
        </w:rPr>
        <w:t>…</w:t>
      </w:r>
      <w:r w:rsidRPr="004057C0">
        <w:rPr>
          <w:rFonts w:ascii="Times New Roman" w:hAnsi="Times New Roman" w:cs="Times New Roman"/>
          <w:sz w:val="28"/>
          <w:szCs w:val="28"/>
        </w:rPr>
        <w:t>..</w:t>
      </w:r>
      <w:r w:rsidR="00EF4D58">
        <w:rPr>
          <w:rFonts w:ascii="Times New Roman" w:hAnsi="Times New Roman" w:cs="Times New Roman"/>
          <w:b/>
          <w:sz w:val="28"/>
          <w:szCs w:val="28"/>
        </w:rPr>
        <w:t>39</w:t>
      </w:r>
      <w:bookmarkStart w:id="0" w:name="_GoBack"/>
      <w:bookmarkEnd w:id="0"/>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814BB9" w:rsidRDefault="00814BB9"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spacing w:before="240" w:after="0"/>
        <w:jc w:val="both"/>
        <w:rPr>
          <w:rFonts w:ascii="Times New Roman" w:hAnsi="Times New Roman" w:cs="Times New Roman"/>
          <w:b/>
          <w:sz w:val="28"/>
          <w:szCs w:val="28"/>
        </w:rPr>
      </w:pPr>
    </w:p>
    <w:p w:rsidR="004057C0" w:rsidRDefault="004057C0" w:rsidP="000C06E2">
      <w:pPr>
        <w:autoSpaceDE w:val="0"/>
        <w:autoSpaceDN w:val="0"/>
        <w:adjustRightInd w:val="0"/>
        <w:spacing w:before="240" w:after="0"/>
        <w:jc w:val="both"/>
        <w:rPr>
          <w:rFonts w:ascii="Times New Roman" w:hAnsi="Times New Roman" w:cs="Times New Roman"/>
          <w:b/>
          <w:bCs/>
          <w:color w:val="000000"/>
          <w:sz w:val="28"/>
          <w:szCs w:val="28"/>
        </w:rPr>
      </w:pPr>
      <w:r w:rsidRPr="004057C0">
        <w:rPr>
          <w:rFonts w:ascii="Times New Roman" w:hAnsi="Times New Roman" w:cs="Times New Roman"/>
          <w:color w:val="000000"/>
          <w:sz w:val="28"/>
          <w:szCs w:val="28"/>
        </w:rPr>
        <w:fldChar w:fldCharType="end"/>
      </w:r>
    </w:p>
    <w:p w:rsidR="000C315C" w:rsidRDefault="000C315C" w:rsidP="000C315C">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0C315C">
        <w:rPr>
          <w:rFonts w:ascii="Times New Roman" w:hAnsi="Times New Roman" w:cs="Times New Roman"/>
          <w:b/>
          <w:bCs/>
          <w:color w:val="000000"/>
          <w:sz w:val="28"/>
          <w:szCs w:val="28"/>
        </w:rPr>
        <w:t>Вводная часть</w:t>
      </w:r>
    </w:p>
    <w:p w:rsidR="000C315C" w:rsidRDefault="000C315C" w:rsidP="000C315C">
      <w:pPr>
        <w:pStyle w:val="a3"/>
        <w:autoSpaceDE w:val="0"/>
        <w:autoSpaceDN w:val="0"/>
        <w:adjustRightInd w:val="0"/>
        <w:spacing w:after="0"/>
        <w:ind w:left="1069"/>
        <w:rPr>
          <w:rFonts w:ascii="Times New Roman" w:hAnsi="Times New Roman" w:cs="Times New Roman"/>
          <w:b/>
          <w:bCs/>
          <w:color w:val="000000"/>
          <w:sz w:val="28"/>
          <w:szCs w:val="28"/>
        </w:rPr>
      </w:pPr>
    </w:p>
    <w:p w:rsidR="00ED650F" w:rsidRPr="00783DE6" w:rsidRDefault="00ED650F" w:rsidP="00ED650F">
      <w:pPr>
        <w:pStyle w:val="ConsPlusNormal"/>
        <w:spacing w:line="276" w:lineRule="auto"/>
        <w:ind w:firstLine="709"/>
        <w:jc w:val="both"/>
        <w:rPr>
          <w:rFonts w:ascii="Times New Roman" w:hAnsi="Times New Roman" w:cs="Times New Roman"/>
          <w:sz w:val="28"/>
          <w:szCs w:val="28"/>
        </w:rPr>
      </w:pPr>
      <w:r w:rsidRPr="00783DE6">
        <w:rPr>
          <w:rFonts w:ascii="Times New Roman" w:hAnsi="Times New Roman" w:cs="Times New Roman"/>
          <w:sz w:val="28"/>
          <w:szCs w:val="28"/>
        </w:rPr>
        <w:t>Прогноз представляет систему научно обоснованных представлений о направлениях и об ожидаемых результатах социально-экономического развития муниципального образования.</w:t>
      </w:r>
    </w:p>
    <w:p w:rsidR="00ED650F" w:rsidRDefault="00ED650F" w:rsidP="00386ECB">
      <w:pPr>
        <w:pStyle w:val="ConsPlusNormal"/>
        <w:spacing w:line="276" w:lineRule="auto"/>
        <w:ind w:firstLine="709"/>
        <w:jc w:val="both"/>
        <w:rPr>
          <w:rFonts w:ascii="Times New Roman" w:hAnsi="Times New Roman" w:cs="Times New Roman"/>
          <w:sz w:val="28"/>
          <w:szCs w:val="28"/>
        </w:rPr>
      </w:pPr>
      <w:r w:rsidRPr="00783DE6">
        <w:rPr>
          <w:rFonts w:ascii="Times New Roman" w:hAnsi="Times New Roman" w:cs="Times New Roman"/>
          <w:sz w:val="28"/>
          <w:szCs w:val="28"/>
        </w:rPr>
        <w:t>При составлении прогноза социально-экономического развития территории к проекту бюджета на 2017 год и плановый период 2018 – 2019</w:t>
      </w:r>
      <w:r>
        <w:rPr>
          <w:rFonts w:ascii="Times New Roman" w:hAnsi="Times New Roman" w:cs="Times New Roman"/>
          <w:sz w:val="28"/>
          <w:szCs w:val="28"/>
        </w:rPr>
        <w:t xml:space="preserve"> годов </w:t>
      </w:r>
      <w:r w:rsidRPr="00783DE6">
        <w:rPr>
          <w:rFonts w:ascii="Times New Roman" w:hAnsi="Times New Roman" w:cs="Times New Roman"/>
          <w:sz w:val="28"/>
          <w:szCs w:val="28"/>
        </w:rPr>
        <w:t>использованы сведения о результатах социально-экономического развития территории за 2013 – 2015 годы и первое полугодие 2016 года, выполнена оценка ожидаемых итогов развития за 2016 год и, на основании доведенных параметров (</w:t>
      </w:r>
      <w:proofErr w:type="gramStart"/>
      <w:r w:rsidRPr="00783DE6">
        <w:rPr>
          <w:rFonts w:ascii="Times New Roman" w:hAnsi="Times New Roman" w:cs="Times New Roman"/>
          <w:sz w:val="28"/>
          <w:szCs w:val="28"/>
        </w:rPr>
        <w:t xml:space="preserve">сценариях) </w:t>
      </w:r>
      <w:proofErr w:type="gramEnd"/>
      <w:r w:rsidRPr="00783DE6">
        <w:rPr>
          <w:rFonts w:ascii="Times New Roman" w:hAnsi="Times New Roman" w:cs="Times New Roman"/>
          <w:sz w:val="28"/>
          <w:szCs w:val="28"/>
        </w:rPr>
        <w:t>развития территории, выполнен прогноз развития территории на 2018-2019 годы.</w:t>
      </w:r>
    </w:p>
    <w:p w:rsidR="00EE71C8" w:rsidRPr="00783DE6" w:rsidRDefault="00EE71C8" w:rsidP="00386ECB">
      <w:pPr>
        <w:pStyle w:val="ConsPlusNormal"/>
        <w:spacing w:line="276" w:lineRule="auto"/>
        <w:ind w:firstLine="709"/>
        <w:jc w:val="both"/>
        <w:rPr>
          <w:rFonts w:ascii="Times New Roman" w:hAnsi="Times New Roman" w:cs="Times New Roman"/>
          <w:sz w:val="28"/>
          <w:szCs w:val="28"/>
        </w:rPr>
      </w:pPr>
      <w:r w:rsidRPr="00783DE6">
        <w:rPr>
          <w:rFonts w:ascii="Times New Roman" w:hAnsi="Times New Roman" w:cs="Times New Roman"/>
          <w:sz w:val="28"/>
          <w:szCs w:val="28"/>
        </w:rPr>
        <w:t>В прогнозе учтены реализация муниципальных программ, планы хозяйственной деятельности предприятий, реализация крупных инвестиционных проектов и предварительный прогноз показателей инфляции в крае до 201</w:t>
      </w:r>
      <w:r w:rsidR="00EE7407" w:rsidRPr="00783DE6">
        <w:rPr>
          <w:rFonts w:ascii="Times New Roman" w:hAnsi="Times New Roman" w:cs="Times New Roman"/>
          <w:sz w:val="28"/>
          <w:szCs w:val="28"/>
        </w:rPr>
        <w:t>9</w:t>
      </w:r>
      <w:r w:rsidRPr="00783DE6">
        <w:rPr>
          <w:rFonts w:ascii="Times New Roman" w:hAnsi="Times New Roman" w:cs="Times New Roman"/>
          <w:sz w:val="28"/>
          <w:szCs w:val="28"/>
        </w:rPr>
        <w:t xml:space="preserve"> года, включающий дефляторы по видам экономической деятельности и прогноз индексов цен на платные услуги населению (в разрезе услуг).</w:t>
      </w:r>
    </w:p>
    <w:p w:rsidR="00EE71C8" w:rsidRPr="00783DE6" w:rsidRDefault="00EE71C8" w:rsidP="00386ECB">
      <w:pPr>
        <w:pStyle w:val="ConsPlusNormal"/>
        <w:spacing w:line="276" w:lineRule="auto"/>
        <w:ind w:firstLine="709"/>
        <w:jc w:val="both"/>
        <w:rPr>
          <w:rFonts w:ascii="Times New Roman" w:hAnsi="Times New Roman" w:cs="Times New Roman"/>
          <w:sz w:val="28"/>
          <w:szCs w:val="28"/>
        </w:rPr>
      </w:pPr>
      <w:r w:rsidRPr="00783DE6">
        <w:rPr>
          <w:rFonts w:ascii="Times New Roman" w:hAnsi="Times New Roman" w:cs="Times New Roman"/>
          <w:sz w:val="28"/>
          <w:szCs w:val="28"/>
        </w:rPr>
        <w:t xml:space="preserve">Прогнозирование основывается на принципе непрерывности и преемственности, что в разработке прогноза социально-экономического развития территории означает разработку планов развития с учетом достигнутых результатов развития и этапов реализации планов развития территории. </w:t>
      </w:r>
    </w:p>
    <w:p w:rsidR="00783DE6" w:rsidRPr="000A0768" w:rsidRDefault="00783DE6" w:rsidP="00386ECB">
      <w:pPr>
        <w:tabs>
          <w:tab w:val="left" w:pos="1134"/>
        </w:tabs>
        <w:spacing w:after="0"/>
        <w:ind w:firstLine="709"/>
        <w:jc w:val="both"/>
        <w:rPr>
          <w:rFonts w:ascii="Times New Roman" w:hAnsi="Times New Roman" w:cs="Times New Roman"/>
          <w:sz w:val="28"/>
          <w:szCs w:val="28"/>
        </w:rPr>
      </w:pPr>
      <w:r w:rsidRPr="000A0768">
        <w:rPr>
          <w:rFonts w:ascii="Times New Roman" w:hAnsi="Times New Roman" w:cs="Times New Roman"/>
          <w:sz w:val="28"/>
          <w:szCs w:val="28"/>
        </w:rPr>
        <w:t xml:space="preserve">Прогноз на трёхлетний период разработан </w:t>
      </w:r>
      <w:r w:rsidRPr="000A0768">
        <w:rPr>
          <w:rFonts w:ascii="Times New Roman" w:hAnsi="Times New Roman" w:cs="Times New Roman"/>
          <w:bCs/>
          <w:sz w:val="28"/>
          <w:szCs w:val="28"/>
        </w:rPr>
        <w:t>в двух вариантах,</w:t>
      </w:r>
      <w:r w:rsidRPr="000A0768">
        <w:rPr>
          <w:rFonts w:ascii="Times New Roman" w:hAnsi="Times New Roman" w:cs="Times New Roman"/>
          <w:sz w:val="28"/>
          <w:szCs w:val="28"/>
        </w:rPr>
        <w:t xml:space="preserve"> второй вариант прогноза является основным (базовым) вариантом для разработки параметров районного бюджета на 2017-2019 годы.</w:t>
      </w:r>
    </w:p>
    <w:p w:rsidR="000C315C" w:rsidRPr="00386ECB" w:rsidRDefault="000C315C" w:rsidP="00386ECB">
      <w:pPr>
        <w:autoSpaceDE w:val="0"/>
        <w:autoSpaceDN w:val="0"/>
        <w:adjustRightInd w:val="0"/>
        <w:spacing w:after="0"/>
        <w:rPr>
          <w:rFonts w:ascii="Times New Roman" w:hAnsi="Times New Roman" w:cs="Times New Roman"/>
          <w:b/>
          <w:bCs/>
          <w:color w:val="000000"/>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Общие сведения о муниципальном образовании</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Туруханский район - крупнейший административный район Крайнего Севера. В состав района входит: 1 городское поселение (г. Игарка); 6 сельсоветов с 13 населенными пунктами и 20 населенных пунктов, расположенных на межселенной территории. Общая площадь района составляет 211 </w:t>
      </w:r>
      <w:proofErr w:type="spellStart"/>
      <w:r w:rsidRPr="00BD4779">
        <w:rPr>
          <w:rFonts w:ascii="Times New Roman" w:hAnsi="Times New Roman" w:cs="Times New Roman"/>
          <w:sz w:val="28"/>
          <w:szCs w:val="28"/>
        </w:rPr>
        <w:t>тыс.кв.км</w:t>
      </w:r>
      <w:proofErr w:type="spellEnd"/>
      <w:r w:rsidRPr="00BD4779">
        <w:rPr>
          <w:rFonts w:ascii="Times New Roman" w:hAnsi="Times New Roman" w:cs="Times New Roman"/>
          <w:sz w:val="28"/>
          <w:szCs w:val="28"/>
        </w:rPr>
        <w:t xml:space="preserve">. Ближайшая железнодорожная станция расположена  в г. </w:t>
      </w:r>
      <w:proofErr w:type="spellStart"/>
      <w:r w:rsidRPr="00BD4779">
        <w:rPr>
          <w:rFonts w:ascii="Times New Roman" w:hAnsi="Times New Roman" w:cs="Times New Roman"/>
          <w:sz w:val="28"/>
          <w:szCs w:val="28"/>
        </w:rPr>
        <w:t>Лесосибирске</w:t>
      </w:r>
      <w:proofErr w:type="spellEnd"/>
      <w:r w:rsidRPr="00BD4779">
        <w:rPr>
          <w:rFonts w:ascii="Times New Roman" w:hAnsi="Times New Roman" w:cs="Times New Roman"/>
          <w:sz w:val="28"/>
          <w:szCs w:val="28"/>
        </w:rPr>
        <w:t>, на расстоянии 1075 км</w:t>
      </w:r>
      <w:proofErr w:type="gramStart"/>
      <w:r w:rsidRPr="00BD4779">
        <w:rPr>
          <w:rFonts w:ascii="Times New Roman" w:hAnsi="Times New Roman" w:cs="Times New Roman"/>
          <w:sz w:val="28"/>
          <w:szCs w:val="28"/>
        </w:rPr>
        <w:t>.</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о</w:t>
      </w:r>
      <w:proofErr w:type="gramEnd"/>
      <w:r w:rsidRPr="00BD4779">
        <w:rPr>
          <w:rFonts w:ascii="Times New Roman" w:hAnsi="Times New Roman" w:cs="Times New Roman"/>
          <w:sz w:val="28"/>
          <w:szCs w:val="28"/>
        </w:rPr>
        <w:t xml:space="preserve">т районного центра. </w:t>
      </w:r>
    </w:p>
    <w:p w:rsidR="00BD4779" w:rsidRPr="00BD4779" w:rsidRDefault="00BD4779" w:rsidP="00BD4779">
      <w:pPr>
        <w:autoSpaceDE w:val="0"/>
        <w:autoSpaceDN w:val="0"/>
        <w:adjustRightInd w:val="0"/>
        <w:spacing w:after="0"/>
        <w:ind w:firstLine="709"/>
        <w:jc w:val="both"/>
        <w:rPr>
          <w:rFonts w:ascii="Times New Roman" w:hAnsi="Times New Roman" w:cs="Times New Roman"/>
          <w:spacing w:val="4"/>
          <w:sz w:val="28"/>
          <w:szCs w:val="28"/>
        </w:rPr>
      </w:pPr>
      <w:r w:rsidRPr="00BD4779">
        <w:rPr>
          <w:rFonts w:ascii="Times New Roman" w:hAnsi="Times New Roman" w:cs="Times New Roman"/>
          <w:spacing w:val="4"/>
          <w:sz w:val="28"/>
          <w:szCs w:val="28"/>
        </w:rPr>
        <w:t>Административный центр Туруханского района – село Туруханск, расположен на правом берегу Енисея, в устье притока реки Нижняя Тунгуска.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Географическое р</w:t>
      </w:r>
      <w:r w:rsidRPr="00BD4779">
        <w:rPr>
          <w:rFonts w:ascii="Times New Roman" w:hAnsi="Times New Roman" w:cs="Times New Roman"/>
          <w:spacing w:val="4"/>
          <w:sz w:val="28"/>
          <w:szCs w:val="28"/>
        </w:rPr>
        <w:t xml:space="preserve">асположение района отмечено  на широте 60º40´, северной 67º30´, восточной 92º15´, западной 82º05´. Протяженность с юга на север составляет более  1000 км. Основная река – Енисей с притоками П-Тунгуска, </w:t>
      </w:r>
      <w:proofErr w:type="spellStart"/>
      <w:r w:rsidRPr="00BD4779">
        <w:rPr>
          <w:rFonts w:ascii="Times New Roman" w:hAnsi="Times New Roman" w:cs="Times New Roman"/>
          <w:spacing w:val="4"/>
          <w:sz w:val="28"/>
          <w:szCs w:val="28"/>
        </w:rPr>
        <w:t>Елогуй</w:t>
      </w:r>
      <w:proofErr w:type="spellEnd"/>
      <w:r w:rsidRPr="00BD4779">
        <w:rPr>
          <w:rFonts w:ascii="Times New Roman" w:hAnsi="Times New Roman" w:cs="Times New Roman"/>
          <w:spacing w:val="4"/>
          <w:sz w:val="28"/>
          <w:szCs w:val="28"/>
        </w:rPr>
        <w:t>, Сухая Тунгуска, Нижняя Тунгуска.</w:t>
      </w:r>
    </w:p>
    <w:p w:rsidR="00BD4779" w:rsidRPr="00BD4779" w:rsidRDefault="00BD4779" w:rsidP="00BD4779">
      <w:pPr>
        <w:autoSpaceDE w:val="0"/>
        <w:autoSpaceDN w:val="0"/>
        <w:adjustRightInd w:val="0"/>
        <w:spacing w:after="0"/>
        <w:ind w:firstLine="709"/>
        <w:jc w:val="both"/>
        <w:rPr>
          <w:rFonts w:ascii="Times New Roman" w:hAnsi="Times New Roman" w:cs="Times New Roman"/>
          <w:spacing w:val="4"/>
          <w:sz w:val="28"/>
          <w:szCs w:val="28"/>
        </w:rPr>
      </w:pPr>
      <w:r w:rsidRPr="00BD4779">
        <w:rPr>
          <w:rFonts w:ascii="Times New Roman" w:hAnsi="Times New Roman" w:cs="Times New Roman"/>
          <w:spacing w:val="4"/>
          <w:sz w:val="28"/>
          <w:szCs w:val="28"/>
        </w:rPr>
        <w:t xml:space="preserve">Климат района резко континентальный: холодная, суровая зима и короткое жаркое лето. </w:t>
      </w:r>
      <w:proofErr w:type="gramStart"/>
      <w:r w:rsidRPr="00BD4779">
        <w:rPr>
          <w:rFonts w:ascii="Times New Roman" w:hAnsi="Times New Roman" w:cs="Times New Roman"/>
          <w:spacing w:val="4"/>
          <w:sz w:val="28"/>
          <w:szCs w:val="28"/>
        </w:rPr>
        <w:t>Средне-годовая</w:t>
      </w:r>
      <w:proofErr w:type="gramEnd"/>
      <w:r w:rsidRPr="00BD4779">
        <w:rPr>
          <w:rFonts w:ascii="Times New Roman" w:hAnsi="Times New Roman" w:cs="Times New Roman"/>
          <w:spacing w:val="4"/>
          <w:sz w:val="28"/>
          <w:szCs w:val="28"/>
        </w:rPr>
        <w:t xml:space="preserve"> температура воздуха минус 5,8 градуса.</w:t>
      </w:r>
    </w:p>
    <w:p w:rsidR="00BD4779" w:rsidRPr="00BD4779" w:rsidRDefault="00BD4779" w:rsidP="00BD4779">
      <w:pPr>
        <w:shd w:val="clear" w:color="auto" w:fill="FFFFFF"/>
        <w:autoSpaceDE w:val="0"/>
        <w:autoSpaceDN w:val="0"/>
        <w:adjustRightInd w:val="0"/>
        <w:spacing w:after="0"/>
        <w:ind w:firstLine="709"/>
        <w:jc w:val="both"/>
        <w:rPr>
          <w:rFonts w:ascii="Times New Roman" w:hAnsi="Times New Roman" w:cs="Times New Roman"/>
          <w:spacing w:val="4"/>
          <w:sz w:val="28"/>
          <w:szCs w:val="28"/>
        </w:rPr>
      </w:pPr>
      <w:r w:rsidRPr="00BD4779">
        <w:rPr>
          <w:rFonts w:ascii="Times New Roman" w:hAnsi="Times New Roman" w:cs="Times New Roman"/>
          <w:spacing w:val="4"/>
          <w:sz w:val="28"/>
          <w:szCs w:val="28"/>
        </w:rPr>
        <w:t>На территории района создан крупнейший в мире Центральный Сибирский биосферный заповедник. Площадь заповедной зоны 972 тысячи гектаров. Местные леса признаны уникальными по богатству и разнообразию растительного мира, по обилию редких растений. Заповедник стал питомником для ценных промысловых животных и рыб.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pacing w:val="4"/>
          <w:sz w:val="28"/>
          <w:szCs w:val="28"/>
        </w:rPr>
        <w:tab/>
        <w:t xml:space="preserve">Также на территории района находится Музей вечной мерзлоты - краеведческий комплекс в городе </w:t>
      </w:r>
      <w:proofErr w:type="spellStart"/>
      <w:r w:rsidRPr="00BD4779">
        <w:rPr>
          <w:rFonts w:ascii="Times New Roman" w:hAnsi="Times New Roman" w:cs="Times New Roman"/>
          <w:spacing w:val="4"/>
          <w:sz w:val="28"/>
          <w:szCs w:val="28"/>
        </w:rPr>
        <w:t>Игарке</w:t>
      </w:r>
      <w:proofErr w:type="spellEnd"/>
      <w:r w:rsidRPr="00BD4779">
        <w:rPr>
          <w:rFonts w:ascii="Times New Roman" w:hAnsi="Times New Roman" w:cs="Times New Roman"/>
          <w:spacing w:val="4"/>
          <w:sz w:val="28"/>
          <w:szCs w:val="28"/>
        </w:rPr>
        <w:t xml:space="preserve">. Был основан на базе мерзлотной лаборатории. Единственный в мире музей, обладающий уникальным подземельем в толще вечномерзлого грунта. Общая площадь музея составляет 470 </w:t>
      </w:r>
      <w:r w:rsidRPr="00BD4779">
        <w:rPr>
          <w:rFonts w:ascii="Times New Roman" w:hAnsi="Times New Roman" w:cs="Times New Roman"/>
          <w:sz w:val="28"/>
          <w:szCs w:val="28"/>
        </w:rPr>
        <w:t>м²  под экспозиции и постоянные выставки, 150 м² под временные выставки и 45 м² под фондохранилище. Часть музея признана Памятником природы краевого значения.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r w:rsidRPr="00BD4779">
        <w:rPr>
          <w:rFonts w:ascii="Times New Roman" w:hAnsi="Times New Roman" w:cs="Times New Roman"/>
          <w:sz w:val="28"/>
          <w:szCs w:val="28"/>
        </w:rPr>
        <w:tab/>
        <w:t xml:space="preserve">В 2002 году </w:t>
      </w:r>
      <w:proofErr w:type="spellStart"/>
      <w:r w:rsidRPr="00BD4779">
        <w:rPr>
          <w:rFonts w:ascii="Times New Roman" w:hAnsi="Times New Roman" w:cs="Times New Roman"/>
          <w:sz w:val="28"/>
          <w:szCs w:val="28"/>
        </w:rPr>
        <w:t>Игарский</w:t>
      </w:r>
      <w:proofErr w:type="spellEnd"/>
      <w:r w:rsidRPr="00BD4779">
        <w:rPr>
          <w:rFonts w:ascii="Times New Roman" w:hAnsi="Times New Roman" w:cs="Times New Roman"/>
          <w:sz w:val="28"/>
          <w:szCs w:val="28"/>
        </w:rPr>
        <w:t xml:space="preserve"> краеведческий музей принял участие в международном конкурсе Европейского Музейного Форума в номинации на лучший европейский музей 2002 года, по итогам которого был внесён в Каталог Европейского музейного форума и награждён дипломом «За выдающиеся достижения» («</w:t>
      </w:r>
      <w:r w:rsidRPr="00BD4779">
        <w:rPr>
          <w:rFonts w:ascii="Times New Roman" w:hAnsi="Times New Roman" w:cs="Times New Roman"/>
          <w:sz w:val="28"/>
          <w:szCs w:val="28"/>
          <w:lang w:val="en-US"/>
        </w:rPr>
        <w:t>Specially</w:t>
      </w:r>
      <w:r w:rsidRPr="00BD4779">
        <w:rPr>
          <w:rFonts w:ascii="Times New Roman" w:hAnsi="Times New Roman" w:cs="Times New Roman"/>
          <w:sz w:val="28"/>
          <w:szCs w:val="28"/>
        </w:rPr>
        <w:t xml:space="preserve"> </w:t>
      </w:r>
      <w:r w:rsidRPr="00BD4779">
        <w:rPr>
          <w:rFonts w:ascii="Times New Roman" w:hAnsi="Times New Roman" w:cs="Times New Roman"/>
          <w:sz w:val="28"/>
          <w:szCs w:val="28"/>
          <w:lang w:val="en-US"/>
        </w:rPr>
        <w:t>commended</w:t>
      </w:r>
      <w:r w:rsidRPr="00BD4779">
        <w:rPr>
          <w:rFonts w:ascii="Times New Roman" w:hAnsi="Times New Roman" w:cs="Times New Roman"/>
          <w:sz w:val="28"/>
          <w:szCs w:val="28"/>
        </w:rPr>
        <w:t xml:space="preserve">»).  </w:t>
      </w:r>
    </w:p>
    <w:p w:rsidR="00BD4779" w:rsidRPr="00BD4779" w:rsidRDefault="00BD4779" w:rsidP="00BD4779">
      <w:pPr>
        <w:autoSpaceDE w:val="0"/>
        <w:autoSpaceDN w:val="0"/>
        <w:adjustRightInd w:val="0"/>
        <w:spacing w:after="0"/>
        <w:ind w:firstLine="709"/>
        <w:jc w:val="both"/>
        <w:rPr>
          <w:rFonts w:ascii="Times New Roman" w:hAnsi="Times New Roman" w:cs="Times New Roman"/>
          <w:spacing w:val="4"/>
          <w:sz w:val="28"/>
          <w:szCs w:val="28"/>
        </w:rPr>
      </w:pPr>
      <w:r w:rsidRPr="00BD4779">
        <w:rPr>
          <w:rFonts w:ascii="Times New Roman" w:hAnsi="Times New Roman" w:cs="Times New Roman"/>
          <w:sz w:val="28"/>
          <w:szCs w:val="28"/>
        </w:rPr>
        <w:tab/>
      </w:r>
      <w:r w:rsidRPr="00BD4779">
        <w:rPr>
          <w:rFonts w:ascii="Times New Roman" w:hAnsi="Times New Roman" w:cs="Times New Roman"/>
          <w:spacing w:val="4"/>
          <w:sz w:val="28"/>
          <w:szCs w:val="28"/>
        </w:rPr>
        <w:t xml:space="preserve">Главное минеральное сырье района - нефть и газ. Найдено золото, есть хром, полиметаллы, каменный уголь. </w:t>
      </w:r>
      <w:proofErr w:type="gramStart"/>
      <w:r w:rsidRPr="00BD4779">
        <w:rPr>
          <w:rFonts w:ascii="Times New Roman" w:hAnsi="Times New Roman" w:cs="Times New Roman"/>
          <w:spacing w:val="4"/>
          <w:sz w:val="28"/>
          <w:szCs w:val="28"/>
        </w:rPr>
        <w:t xml:space="preserve">Среди минеральных ресурсов — железные руды, марганец редкого окисного типа, бокситы, фосфориты, сульфидно - медно-никелевые отложения, свинец, цинк, кадмий, редкие элементы в подземных рассолах. </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Промышленность</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Промышленность в 2015 году в районе представлена несколькими предприятиями: ЗАО «</w:t>
      </w:r>
      <w:proofErr w:type="spellStart"/>
      <w:r w:rsidRPr="00BD4779">
        <w:rPr>
          <w:rFonts w:ascii="Times New Roman" w:hAnsi="Times New Roman" w:cs="Times New Roman"/>
          <w:sz w:val="28"/>
          <w:szCs w:val="28"/>
        </w:rPr>
        <w:t>Ванкорнефть</w:t>
      </w:r>
      <w:proofErr w:type="spellEnd"/>
      <w:r w:rsidRPr="00BD4779">
        <w:rPr>
          <w:rFonts w:ascii="Times New Roman" w:hAnsi="Times New Roman" w:cs="Times New Roman"/>
          <w:sz w:val="28"/>
          <w:szCs w:val="28"/>
        </w:rPr>
        <w:t>» (ВЭД «Добыча полезных ископаемых»), ОАО «</w:t>
      </w:r>
      <w:proofErr w:type="spellStart"/>
      <w:r w:rsidRPr="00BD4779">
        <w:rPr>
          <w:rFonts w:ascii="Times New Roman" w:hAnsi="Times New Roman" w:cs="Times New Roman"/>
          <w:sz w:val="28"/>
          <w:szCs w:val="28"/>
        </w:rPr>
        <w:t>Туруханскэнерго</w:t>
      </w:r>
      <w:proofErr w:type="spellEnd"/>
      <w:r w:rsidRPr="00BD4779">
        <w:rPr>
          <w:rFonts w:ascii="Times New Roman" w:hAnsi="Times New Roman" w:cs="Times New Roman"/>
          <w:sz w:val="28"/>
          <w:szCs w:val="28"/>
        </w:rPr>
        <w:t xml:space="preserve">», ОАО «Многоотраслевой энергопромышленный комплекс» (ВЭД «Производство и распределение электроэнергии, газа и воды»), а также филиалами подрядных организаций, осуществляющих деятельность на </w:t>
      </w:r>
      <w:proofErr w:type="spellStart"/>
      <w:r w:rsidRPr="00BD4779">
        <w:rPr>
          <w:rFonts w:ascii="Times New Roman" w:hAnsi="Times New Roman" w:cs="Times New Roman"/>
          <w:sz w:val="28"/>
          <w:szCs w:val="28"/>
        </w:rPr>
        <w:t>Ванкорском</w:t>
      </w:r>
      <w:proofErr w:type="spellEnd"/>
      <w:r w:rsidRPr="00BD4779">
        <w:rPr>
          <w:rFonts w:ascii="Times New Roman" w:hAnsi="Times New Roman" w:cs="Times New Roman"/>
          <w:sz w:val="28"/>
          <w:szCs w:val="28"/>
        </w:rPr>
        <w:t xml:space="preserve"> месторождении (ВЭД «Обрабатывающие производства»).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2015 году объем промышленного производства (ВЭД «Добыча полезных ископаемых», «Обрабатывающие производства», «Производство и распределение электроэнергии, газа и воды») составил – 364,1 млрд. руб., индекс промышленного производства – 99,99% к уровню предыдущего года.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Основная доля в объеме промышленного производства (99,5%) принадлежит нефтедобывающей отрасли. Объем отгруженных товаров собственного производства </w:t>
      </w:r>
      <w:proofErr w:type="gramStart"/>
      <w:r w:rsidRPr="00BD4779">
        <w:rPr>
          <w:rFonts w:ascii="Times New Roman" w:hAnsi="Times New Roman" w:cs="Times New Roman"/>
          <w:sz w:val="28"/>
          <w:szCs w:val="28"/>
        </w:rPr>
        <w:t>по</w:t>
      </w:r>
      <w:proofErr w:type="gramEnd"/>
      <w:r w:rsidRPr="00BD4779">
        <w:rPr>
          <w:rFonts w:ascii="Times New Roman" w:hAnsi="Times New Roman" w:cs="Times New Roman"/>
          <w:sz w:val="28"/>
          <w:szCs w:val="28"/>
        </w:rPr>
        <w:t xml:space="preserve"> данному ВЭД составил 362,2 млрд. руб. или 137,7% к уровню предыдущего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Нефтедобывающая отрасль в районе представлена дочерним предприятием ОАО НК «Роснефть» - ЗАО «</w:t>
      </w:r>
      <w:proofErr w:type="spellStart"/>
      <w:r w:rsidRPr="00BD4779">
        <w:rPr>
          <w:rFonts w:ascii="Times New Roman" w:hAnsi="Times New Roman" w:cs="Times New Roman"/>
          <w:sz w:val="28"/>
          <w:szCs w:val="28"/>
        </w:rPr>
        <w:t>Ванкорнефть</w:t>
      </w:r>
      <w:proofErr w:type="spellEnd"/>
      <w:r w:rsidRPr="00BD4779">
        <w:rPr>
          <w:rFonts w:ascii="Times New Roman" w:hAnsi="Times New Roman" w:cs="Times New Roman"/>
          <w:sz w:val="28"/>
          <w:szCs w:val="28"/>
        </w:rPr>
        <w:t xml:space="preserve">», осуществляющим деятельность на </w:t>
      </w:r>
      <w:proofErr w:type="spellStart"/>
      <w:r w:rsidRPr="00BD4779">
        <w:rPr>
          <w:rFonts w:ascii="Times New Roman" w:hAnsi="Times New Roman" w:cs="Times New Roman"/>
          <w:sz w:val="28"/>
          <w:szCs w:val="28"/>
        </w:rPr>
        <w:t>Ванкорском</w:t>
      </w:r>
      <w:proofErr w:type="spellEnd"/>
      <w:r w:rsidRPr="00BD4779">
        <w:rPr>
          <w:rFonts w:ascii="Times New Roman" w:hAnsi="Times New Roman" w:cs="Times New Roman"/>
          <w:sz w:val="28"/>
          <w:szCs w:val="28"/>
        </w:rPr>
        <w:t xml:space="preserve"> месторождении.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spellStart"/>
      <w:r w:rsidRPr="00BD4779">
        <w:rPr>
          <w:rFonts w:ascii="Times New Roman" w:hAnsi="Times New Roman" w:cs="Times New Roman"/>
          <w:sz w:val="28"/>
          <w:szCs w:val="28"/>
        </w:rPr>
        <w:t>Ванкорское</w:t>
      </w:r>
      <w:proofErr w:type="spellEnd"/>
      <w:r w:rsidRPr="00BD4779">
        <w:rPr>
          <w:rFonts w:ascii="Times New Roman" w:hAnsi="Times New Roman" w:cs="Times New Roman"/>
          <w:sz w:val="28"/>
          <w:szCs w:val="28"/>
        </w:rPr>
        <w:t xml:space="preserve"> нефтегазоконденсатное месторождение – крупнейшее из открытых и введенных в эксплуатацию в России за последние двадцать пять лет. Оно расположено на севере Восточной Сибири в Туруханском районе в 142 км от г. Игарка. Площадь месторождения составляет 416 кв. км.</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Основным видом деятельности предприятия до 2010 года являлся ВЭД «Операции с недвижимым имуществом, аренда и предоставление услуг». До 2009 года (в течение всего периода по выполнению </w:t>
      </w:r>
      <w:proofErr w:type="gramStart"/>
      <w:r w:rsidRPr="00BD4779">
        <w:rPr>
          <w:rFonts w:ascii="Times New Roman" w:hAnsi="Times New Roman" w:cs="Times New Roman"/>
          <w:sz w:val="28"/>
          <w:szCs w:val="28"/>
        </w:rPr>
        <w:t>геолого-разведочных</w:t>
      </w:r>
      <w:proofErr w:type="gramEnd"/>
      <w:r w:rsidRPr="00BD4779">
        <w:rPr>
          <w:rFonts w:ascii="Times New Roman" w:hAnsi="Times New Roman" w:cs="Times New Roman"/>
          <w:sz w:val="28"/>
          <w:szCs w:val="28"/>
        </w:rPr>
        <w:t>, геофизических и геохимических работ в области изучения недр) добытая нефть ЗАО «</w:t>
      </w:r>
      <w:proofErr w:type="spellStart"/>
      <w:r w:rsidRPr="00BD4779">
        <w:rPr>
          <w:rFonts w:ascii="Times New Roman" w:hAnsi="Times New Roman" w:cs="Times New Roman"/>
          <w:sz w:val="28"/>
          <w:szCs w:val="28"/>
        </w:rPr>
        <w:t>Ванкорнефть</w:t>
      </w:r>
      <w:proofErr w:type="spellEnd"/>
      <w:r w:rsidRPr="00BD4779">
        <w:rPr>
          <w:rFonts w:ascii="Times New Roman" w:hAnsi="Times New Roman" w:cs="Times New Roman"/>
          <w:sz w:val="28"/>
          <w:szCs w:val="28"/>
        </w:rPr>
        <w:t xml:space="preserve">» шла для потребления на собственные нужды предприятия.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 началом промышленной эксплуатации месторождения (21 августа 2009 года), в связи с произошедшими изменениями в структуре выполняемых предприятием работ, основным видом деятельности ЗАО «</w:t>
      </w:r>
      <w:proofErr w:type="spellStart"/>
      <w:r w:rsidRPr="00BD4779">
        <w:rPr>
          <w:rFonts w:ascii="Times New Roman" w:hAnsi="Times New Roman" w:cs="Times New Roman"/>
          <w:sz w:val="28"/>
          <w:szCs w:val="28"/>
        </w:rPr>
        <w:t>Ванкорнефть</w:t>
      </w:r>
      <w:proofErr w:type="spellEnd"/>
      <w:r w:rsidRPr="00BD4779">
        <w:rPr>
          <w:rFonts w:ascii="Times New Roman" w:hAnsi="Times New Roman" w:cs="Times New Roman"/>
          <w:sz w:val="28"/>
          <w:szCs w:val="28"/>
        </w:rPr>
        <w:t>» в начале 2010 года был зарегистрирован ВЭД «Добыча сырой нефти».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добытой в 2009 году первой промышленной нефти составил 3 </w:t>
      </w:r>
      <w:proofErr w:type="gramStart"/>
      <w:r w:rsidRPr="00BD4779">
        <w:rPr>
          <w:rFonts w:ascii="Times New Roman" w:hAnsi="Times New Roman" w:cs="Times New Roman"/>
          <w:sz w:val="28"/>
          <w:szCs w:val="28"/>
        </w:rPr>
        <w:t>млн</w:t>
      </w:r>
      <w:proofErr w:type="gramEnd"/>
      <w:r w:rsidRPr="00BD4779">
        <w:rPr>
          <w:rFonts w:ascii="Times New Roman" w:hAnsi="Times New Roman" w:cs="Times New Roman"/>
          <w:sz w:val="28"/>
          <w:szCs w:val="28"/>
        </w:rPr>
        <w:t xml:space="preserve"> тонн. </w:t>
      </w:r>
      <w:proofErr w:type="gramStart"/>
      <w:r w:rsidRPr="00BD4779">
        <w:rPr>
          <w:rFonts w:ascii="Times New Roman" w:hAnsi="Times New Roman" w:cs="Times New Roman"/>
          <w:sz w:val="28"/>
          <w:szCs w:val="28"/>
        </w:rPr>
        <w:t xml:space="preserve">В 2010 году добыча составила уже 13,5 млн. тонн, в 2011 году – 15 млн. тонн, в 2012 году – 18,3 млн. тонн, в 2013 году - 21,4 млн. тонн, в 2014 и 2015 годах – 22 млн. тонн ежегодно.  </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 запуском в эксплуатацию в конце 2009 году Ванкорского месторождения нефтедобывающая отрасль стала ведущей отраслью экономики Туруханского района. Ей принадлежит решающая роль в обеспечении прогрессивных структурных сдвигов в экономике района: значительный рост промышленного производства, рост сопутствующих отраслей, таких как строительство, транспорт.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Согласно основным параметрам развития нефтедобывающей отрасли на территории МО Туруханский район объем отгруженной промышленной продукции по ВЭД «Добыча полезных ископаемых» в прогнозном периоде составит: в 2016 г. – 311,8 млрд. руб. (86,1 % к уровню предыдущего года), в 2017 г. – 273,3 млрд. руб. (87,6 % к уровню предыдущего года), в 2018 г. – 270,3 млрд. руб. (98,9 % к уровню предыдущего года), в 2019 г</w:t>
      </w:r>
      <w:proofErr w:type="gramEnd"/>
      <w:r w:rsidRPr="00BD4779">
        <w:rPr>
          <w:rFonts w:ascii="Times New Roman" w:hAnsi="Times New Roman" w:cs="Times New Roman"/>
          <w:sz w:val="28"/>
          <w:szCs w:val="28"/>
        </w:rPr>
        <w:t>. – 257,7 млрд. руб. (95,4 % к уровню предыдущего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прогнозируемом периоде объем промышленного производства большей частью также будет сформирован объемами нефтедобывающей отрасли. Основные показатели развития отрасли за отчетный и прогнозируемый период составляют:</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7"/>
        <w:gridCol w:w="982"/>
        <w:gridCol w:w="983"/>
        <w:gridCol w:w="983"/>
        <w:gridCol w:w="983"/>
        <w:gridCol w:w="983"/>
      </w:tblGrid>
      <w:tr w:rsidR="00BD4779" w:rsidRPr="00BD4779" w:rsidTr="00BD4779">
        <w:trPr>
          <w:trHeight w:val="477"/>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21" w:firstLine="21"/>
              <w:jc w:val="both"/>
              <w:rPr>
                <w:rFonts w:ascii="Times New Roman" w:hAnsi="Times New Roman" w:cs="Times New Roman"/>
                <w:b/>
                <w:bCs/>
                <w:sz w:val="24"/>
                <w:szCs w:val="28"/>
              </w:rPr>
            </w:pPr>
            <w:r w:rsidRPr="00BD4779">
              <w:rPr>
                <w:rFonts w:ascii="Times New Roman" w:hAnsi="Times New Roman" w:cs="Times New Roman"/>
                <w:b/>
                <w:bCs/>
                <w:sz w:val="24"/>
                <w:szCs w:val="28"/>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b/>
                <w:bCs/>
                <w:sz w:val="24"/>
                <w:szCs w:val="28"/>
              </w:rPr>
            </w:pPr>
            <w:r w:rsidRPr="00BD4779">
              <w:rPr>
                <w:rFonts w:ascii="Times New Roman" w:hAnsi="Times New Roman" w:cs="Times New Roman"/>
                <w:b/>
                <w:bCs/>
                <w:sz w:val="24"/>
                <w:szCs w:val="28"/>
              </w:rPr>
              <w:t>2015 год</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b/>
                <w:bCs/>
                <w:sz w:val="24"/>
                <w:szCs w:val="28"/>
              </w:rPr>
            </w:pPr>
            <w:r w:rsidRPr="00BD4779">
              <w:rPr>
                <w:rFonts w:ascii="Times New Roman" w:hAnsi="Times New Roman" w:cs="Times New Roman"/>
                <w:b/>
                <w:bCs/>
                <w:sz w:val="24"/>
                <w:szCs w:val="28"/>
              </w:rPr>
              <w:t>2016 год</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b/>
                <w:bCs/>
                <w:sz w:val="24"/>
                <w:szCs w:val="28"/>
              </w:rPr>
            </w:pPr>
            <w:r w:rsidRPr="00BD4779">
              <w:rPr>
                <w:rFonts w:ascii="Times New Roman" w:hAnsi="Times New Roman" w:cs="Times New Roman"/>
                <w:b/>
                <w:bCs/>
                <w:sz w:val="24"/>
                <w:szCs w:val="28"/>
              </w:rP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b/>
                <w:bCs/>
                <w:sz w:val="24"/>
                <w:szCs w:val="28"/>
              </w:rPr>
            </w:pPr>
            <w:r w:rsidRPr="00BD4779">
              <w:rPr>
                <w:rFonts w:ascii="Times New Roman" w:hAnsi="Times New Roman" w:cs="Times New Roman"/>
                <w:b/>
                <w:bCs/>
                <w:sz w:val="24"/>
                <w:szCs w:val="28"/>
              </w:rPr>
              <w:t>2018 год</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b/>
                <w:bCs/>
                <w:sz w:val="24"/>
                <w:szCs w:val="28"/>
              </w:rPr>
            </w:pPr>
            <w:r w:rsidRPr="00BD4779">
              <w:rPr>
                <w:rFonts w:ascii="Times New Roman" w:hAnsi="Times New Roman" w:cs="Times New Roman"/>
                <w:b/>
                <w:bCs/>
                <w:sz w:val="24"/>
                <w:szCs w:val="28"/>
              </w:rPr>
              <w:t>2019 год</w:t>
            </w:r>
          </w:p>
        </w:tc>
      </w:tr>
      <w:tr w:rsidR="00BD4779" w:rsidRPr="00BD4779" w:rsidTr="00BD4779">
        <w:trPr>
          <w:trHeight w:val="210"/>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21" w:right="34" w:firstLine="21"/>
              <w:jc w:val="both"/>
              <w:rPr>
                <w:rFonts w:ascii="Times New Roman" w:hAnsi="Times New Roman" w:cs="Times New Roman"/>
                <w:sz w:val="24"/>
                <w:szCs w:val="28"/>
              </w:rPr>
            </w:pPr>
            <w:r w:rsidRPr="00BD4779">
              <w:rPr>
                <w:rFonts w:ascii="Times New Roman" w:hAnsi="Times New Roman" w:cs="Times New Roman"/>
                <w:sz w:val="24"/>
                <w:szCs w:val="28"/>
              </w:rPr>
              <w:t xml:space="preserve">Объем отгруженной продукции </w:t>
            </w:r>
            <w:r w:rsidRPr="00BD4779">
              <w:rPr>
                <w:rFonts w:ascii="Times New Roman" w:hAnsi="Times New Roman" w:cs="Times New Roman"/>
                <w:i/>
                <w:iCs/>
                <w:sz w:val="24"/>
                <w:szCs w:val="28"/>
              </w:rPr>
              <w:t>(раздел</w:t>
            </w:r>
            <w:proofErr w:type="gramStart"/>
            <w:r w:rsidRPr="00BD4779">
              <w:rPr>
                <w:rFonts w:ascii="Times New Roman" w:hAnsi="Times New Roman" w:cs="Times New Roman"/>
                <w:i/>
                <w:iCs/>
                <w:sz w:val="24"/>
                <w:szCs w:val="28"/>
              </w:rPr>
              <w:t xml:space="preserve"> С</w:t>
            </w:r>
            <w:proofErr w:type="gramEnd"/>
            <w:r w:rsidRPr="00BD4779">
              <w:rPr>
                <w:rFonts w:ascii="Times New Roman" w:hAnsi="Times New Roman" w:cs="Times New Roman"/>
                <w:i/>
                <w:iCs/>
                <w:sz w:val="24"/>
                <w:szCs w:val="28"/>
              </w:rPr>
              <w:t>: добыча полезных ископаемых)</w:t>
            </w:r>
            <w:r w:rsidRPr="00BD4779">
              <w:rPr>
                <w:rFonts w:ascii="Times New Roman" w:hAnsi="Times New Roman" w:cs="Times New Roman"/>
                <w:sz w:val="24"/>
                <w:szCs w:val="28"/>
              </w:rPr>
              <w:t>, млрд. руб.</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362,2</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311,8</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273,3</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270,3</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257,7</w:t>
            </w:r>
          </w:p>
        </w:tc>
      </w:tr>
      <w:tr w:rsidR="00BD4779" w:rsidRPr="00BD4779" w:rsidTr="00BD4779">
        <w:trPr>
          <w:trHeight w:val="360"/>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21" w:right="-249" w:firstLine="21"/>
              <w:jc w:val="both"/>
              <w:rPr>
                <w:rFonts w:ascii="Times New Roman" w:hAnsi="Times New Roman" w:cs="Times New Roman"/>
                <w:sz w:val="24"/>
                <w:szCs w:val="28"/>
              </w:rPr>
            </w:pPr>
            <w:r w:rsidRPr="00BD4779">
              <w:rPr>
                <w:rFonts w:ascii="Times New Roman" w:hAnsi="Times New Roman" w:cs="Times New Roman"/>
                <w:sz w:val="24"/>
                <w:szCs w:val="28"/>
              </w:rPr>
              <w:t>Темп роста объема отгруженной продукции в действующих ценах</w:t>
            </w:r>
          </w:p>
          <w:p w:rsidR="00BD4779" w:rsidRPr="00BD4779" w:rsidRDefault="00BD4779" w:rsidP="00BD4779">
            <w:pPr>
              <w:autoSpaceDE w:val="0"/>
              <w:autoSpaceDN w:val="0"/>
              <w:adjustRightInd w:val="0"/>
              <w:spacing w:after="0"/>
              <w:ind w:left="-21" w:right="-249" w:firstLine="21"/>
              <w:jc w:val="both"/>
              <w:rPr>
                <w:rFonts w:ascii="Times New Roman" w:hAnsi="Times New Roman" w:cs="Times New Roman"/>
                <w:sz w:val="24"/>
                <w:szCs w:val="28"/>
              </w:rPr>
            </w:pPr>
            <w:r w:rsidRPr="00BD4779">
              <w:rPr>
                <w:rFonts w:ascii="Times New Roman" w:hAnsi="Times New Roman" w:cs="Times New Roman"/>
                <w:i/>
                <w:iCs/>
                <w:sz w:val="24"/>
                <w:szCs w:val="28"/>
              </w:rPr>
              <w:t>(раздел</w:t>
            </w:r>
            <w:proofErr w:type="gramStart"/>
            <w:r w:rsidRPr="00BD4779">
              <w:rPr>
                <w:rFonts w:ascii="Times New Roman" w:hAnsi="Times New Roman" w:cs="Times New Roman"/>
                <w:i/>
                <w:iCs/>
                <w:sz w:val="24"/>
                <w:szCs w:val="28"/>
              </w:rPr>
              <w:t xml:space="preserve"> С</w:t>
            </w:r>
            <w:proofErr w:type="gramEnd"/>
            <w:r w:rsidRPr="00BD4779">
              <w:rPr>
                <w:rFonts w:ascii="Times New Roman" w:hAnsi="Times New Roman" w:cs="Times New Roman"/>
                <w:i/>
                <w:iCs/>
                <w:sz w:val="24"/>
                <w:szCs w:val="28"/>
              </w:rPr>
              <w:t>: добыча полезных ископаемых)</w:t>
            </w:r>
            <w:r w:rsidRPr="00BD4779">
              <w:rPr>
                <w:rFonts w:ascii="Times New Roman" w:hAnsi="Times New Roman" w:cs="Times New Roman"/>
                <w:sz w:val="24"/>
                <w:szCs w:val="28"/>
              </w:rPr>
              <w:t>, %</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137,7</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86,1</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87,6</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98,9</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left="34" w:firstLine="21"/>
              <w:jc w:val="both"/>
              <w:rPr>
                <w:rFonts w:ascii="Times New Roman" w:hAnsi="Times New Roman" w:cs="Times New Roman"/>
                <w:sz w:val="24"/>
                <w:szCs w:val="28"/>
              </w:rPr>
            </w:pPr>
            <w:r w:rsidRPr="00BD4779">
              <w:rPr>
                <w:rFonts w:ascii="Times New Roman" w:hAnsi="Times New Roman" w:cs="Times New Roman"/>
                <w:sz w:val="24"/>
                <w:szCs w:val="28"/>
              </w:rPr>
              <w:t>95,4</w:t>
            </w:r>
          </w:p>
        </w:tc>
      </w:tr>
      <w:tr w:rsidR="00BD4779" w:rsidRPr="00BD4779" w:rsidTr="00BD4779">
        <w:trPr>
          <w:trHeight w:val="390"/>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21" w:right="-249" w:firstLine="21"/>
              <w:jc w:val="both"/>
              <w:rPr>
                <w:rFonts w:ascii="Times New Roman" w:hAnsi="Times New Roman" w:cs="Times New Roman"/>
                <w:sz w:val="24"/>
                <w:szCs w:val="28"/>
              </w:rPr>
            </w:pPr>
            <w:r w:rsidRPr="00BD4779">
              <w:rPr>
                <w:rFonts w:ascii="Times New Roman" w:hAnsi="Times New Roman" w:cs="Times New Roman"/>
                <w:sz w:val="24"/>
                <w:szCs w:val="28"/>
              </w:rPr>
              <w:t>Объем добычи полезных ископаемых</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p>
        </w:tc>
      </w:tr>
      <w:tr w:rsidR="00BD4779" w:rsidRPr="00BD4779" w:rsidTr="00BD4779">
        <w:trPr>
          <w:trHeight w:val="255"/>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438" w:firstLine="21"/>
              <w:jc w:val="both"/>
              <w:rPr>
                <w:rFonts w:ascii="Times New Roman" w:hAnsi="Times New Roman" w:cs="Times New Roman"/>
                <w:sz w:val="24"/>
                <w:szCs w:val="28"/>
              </w:rPr>
            </w:pPr>
            <w:r w:rsidRPr="00BD4779">
              <w:rPr>
                <w:rFonts w:ascii="Times New Roman" w:hAnsi="Times New Roman" w:cs="Times New Roman"/>
                <w:sz w:val="24"/>
                <w:szCs w:val="28"/>
              </w:rPr>
              <w:t>нефть добытая, млн. тонн</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22,0</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22,0</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20,0</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20,0</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19,5</w:t>
            </w:r>
          </w:p>
        </w:tc>
      </w:tr>
      <w:tr w:rsidR="00BD4779" w:rsidRPr="00BD4779" w:rsidTr="00BD4779">
        <w:trPr>
          <w:trHeight w:val="205"/>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438" w:firstLine="21"/>
              <w:jc w:val="both"/>
              <w:rPr>
                <w:rFonts w:ascii="Times New Roman" w:hAnsi="Times New Roman" w:cs="Times New Roman"/>
                <w:sz w:val="24"/>
                <w:szCs w:val="28"/>
              </w:rPr>
            </w:pPr>
            <w:r w:rsidRPr="00BD4779">
              <w:rPr>
                <w:rFonts w:ascii="Times New Roman" w:hAnsi="Times New Roman" w:cs="Times New Roman"/>
                <w:sz w:val="24"/>
                <w:szCs w:val="28"/>
              </w:rPr>
              <w:t>газ природный, млн. куб. м.</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769,0</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809,7</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809,7</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809,7</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809,7</w:t>
            </w:r>
          </w:p>
        </w:tc>
      </w:tr>
      <w:tr w:rsidR="00BD4779" w:rsidRPr="00BD4779" w:rsidTr="00BD4779">
        <w:trPr>
          <w:trHeight w:val="150"/>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438" w:firstLine="21"/>
              <w:jc w:val="both"/>
              <w:rPr>
                <w:rFonts w:ascii="Times New Roman" w:hAnsi="Times New Roman" w:cs="Times New Roman"/>
                <w:sz w:val="24"/>
                <w:szCs w:val="28"/>
              </w:rPr>
            </w:pPr>
            <w:r w:rsidRPr="00BD4779">
              <w:rPr>
                <w:rFonts w:ascii="Times New Roman" w:hAnsi="Times New Roman" w:cs="Times New Roman"/>
                <w:sz w:val="24"/>
                <w:szCs w:val="28"/>
              </w:rPr>
              <w:t>газ попутный, млн. куб. м.</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4549,3</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4790,3</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4790,3</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4790,3</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4790,3</w:t>
            </w:r>
          </w:p>
        </w:tc>
      </w:tr>
      <w:tr w:rsidR="00BD4779" w:rsidRPr="00BD4779" w:rsidTr="00BD4779">
        <w:trPr>
          <w:trHeight w:val="150"/>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21" w:firstLine="21"/>
              <w:jc w:val="both"/>
              <w:rPr>
                <w:rFonts w:ascii="Times New Roman" w:hAnsi="Times New Roman" w:cs="Times New Roman"/>
                <w:sz w:val="24"/>
                <w:szCs w:val="28"/>
              </w:rPr>
            </w:pPr>
            <w:r w:rsidRPr="00BD4779">
              <w:rPr>
                <w:rFonts w:ascii="Times New Roman" w:hAnsi="Times New Roman" w:cs="Times New Roman"/>
                <w:sz w:val="24"/>
                <w:szCs w:val="28"/>
              </w:rPr>
              <w:t xml:space="preserve">Среднемесячная заработная плата </w:t>
            </w:r>
            <w:r w:rsidRPr="00BD4779">
              <w:rPr>
                <w:rFonts w:ascii="Times New Roman" w:hAnsi="Times New Roman" w:cs="Times New Roman"/>
                <w:i/>
                <w:iCs/>
                <w:sz w:val="24"/>
                <w:szCs w:val="28"/>
              </w:rPr>
              <w:t>(раздел</w:t>
            </w:r>
            <w:proofErr w:type="gramStart"/>
            <w:r w:rsidRPr="00BD4779">
              <w:rPr>
                <w:rFonts w:ascii="Times New Roman" w:hAnsi="Times New Roman" w:cs="Times New Roman"/>
                <w:i/>
                <w:iCs/>
                <w:sz w:val="24"/>
                <w:szCs w:val="28"/>
              </w:rPr>
              <w:t xml:space="preserve"> С</w:t>
            </w:r>
            <w:proofErr w:type="gramEnd"/>
            <w:r w:rsidRPr="00BD4779">
              <w:rPr>
                <w:rFonts w:ascii="Times New Roman" w:hAnsi="Times New Roman" w:cs="Times New Roman"/>
                <w:i/>
                <w:iCs/>
                <w:sz w:val="24"/>
                <w:szCs w:val="28"/>
              </w:rPr>
              <w:t>: добыча полезных ископаемых)</w:t>
            </w:r>
            <w:r w:rsidRPr="00BD4779">
              <w:rPr>
                <w:rFonts w:ascii="Times New Roman" w:hAnsi="Times New Roman" w:cs="Times New Roman"/>
                <w:sz w:val="24"/>
                <w:szCs w:val="28"/>
              </w:rPr>
              <w:t>, 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111,2</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96,3</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98,1</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101,6</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105,2</w:t>
            </w:r>
          </w:p>
        </w:tc>
      </w:tr>
      <w:tr w:rsidR="00BD4779" w:rsidRPr="00BD4779" w:rsidTr="00BD4779">
        <w:trPr>
          <w:trHeight w:val="150"/>
        </w:trPr>
        <w:tc>
          <w:tcPr>
            <w:tcW w:w="0" w:type="auto"/>
            <w:tcBorders>
              <w:top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left="-21" w:firstLine="21"/>
              <w:jc w:val="both"/>
              <w:rPr>
                <w:rFonts w:ascii="Times New Roman" w:hAnsi="Times New Roman" w:cs="Times New Roman"/>
                <w:sz w:val="24"/>
                <w:szCs w:val="28"/>
              </w:rPr>
            </w:pPr>
            <w:r w:rsidRPr="00BD4779">
              <w:rPr>
                <w:rFonts w:ascii="Times New Roman" w:hAnsi="Times New Roman" w:cs="Times New Roman"/>
                <w:sz w:val="24"/>
                <w:szCs w:val="28"/>
              </w:rPr>
              <w:t xml:space="preserve">Объем инвестиций </w:t>
            </w:r>
            <w:r w:rsidRPr="00BD4779">
              <w:rPr>
                <w:rFonts w:ascii="Times New Roman" w:hAnsi="Times New Roman" w:cs="Times New Roman"/>
                <w:i/>
                <w:iCs/>
                <w:sz w:val="24"/>
                <w:szCs w:val="28"/>
              </w:rPr>
              <w:t>(раздел</w:t>
            </w:r>
            <w:proofErr w:type="gramStart"/>
            <w:r w:rsidRPr="00BD4779">
              <w:rPr>
                <w:rFonts w:ascii="Times New Roman" w:hAnsi="Times New Roman" w:cs="Times New Roman"/>
                <w:i/>
                <w:iCs/>
                <w:sz w:val="24"/>
                <w:szCs w:val="28"/>
              </w:rPr>
              <w:t xml:space="preserve"> С</w:t>
            </w:r>
            <w:proofErr w:type="gramEnd"/>
            <w:r w:rsidRPr="00BD4779">
              <w:rPr>
                <w:rFonts w:ascii="Times New Roman" w:hAnsi="Times New Roman" w:cs="Times New Roman"/>
                <w:i/>
                <w:iCs/>
                <w:sz w:val="24"/>
                <w:szCs w:val="28"/>
              </w:rPr>
              <w:t>: добыча полезных ископаемых)</w:t>
            </w:r>
            <w:r w:rsidRPr="00BD4779">
              <w:rPr>
                <w:rFonts w:ascii="Times New Roman" w:hAnsi="Times New Roman" w:cs="Times New Roman"/>
                <w:sz w:val="24"/>
                <w:szCs w:val="28"/>
              </w:rPr>
              <w:t>, млн. руб.</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33 306,6</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77 933,0</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70 729,0</w:t>
            </w:r>
          </w:p>
        </w:tc>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71 931,0</w:t>
            </w:r>
          </w:p>
        </w:tc>
        <w:tc>
          <w:tcPr>
            <w:tcW w:w="0" w:type="auto"/>
            <w:tcBorders>
              <w:top w:val="single" w:sz="4" w:space="0" w:color="auto"/>
              <w:left w:val="single" w:sz="4" w:space="0" w:color="auto"/>
              <w:bottom w:val="single" w:sz="4" w:space="0" w:color="auto"/>
            </w:tcBorders>
            <w:vAlign w:val="center"/>
          </w:tcPr>
          <w:p w:rsidR="00BD4779" w:rsidRPr="00BD4779" w:rsidRDefault="00BD4779" w:rsidP="00BD4779">
            <w:pPr>
              <w:autoSpaceDE w:val="0"/>
              <w:autoSpaceDN w:val="0"/>
              <w:adjustRightInd w:val="0"/>
              <w:spacing w:after="0"/>
              <w:ind w:firstLine="21"/>
              <w:jc w:val="both"/>
              <w:rPr>
                <w:rFonts w:ascii="Times New Roman" w:hAnsi="Times New Roman" w:cs="Times New Roman"/>
                <w:sz w:val="24"/>
                <w:szCs w:val="28"/>
              </w:rPr>
            </w:pPr>
            <w:r w:rsidRPr="00BD4779">
              <w:rPr>
                <w:rFonts w:ascii="Times New Roman" w:hAnsi="Times New Roman" w:cs="Times New Roman"/>
                <w:sz w:val="24"/>
                <w:szCs w:val="28"/>
              </w:rPr>
              <w:t>68 931,0</w:t>
            </w:r>
          </w:p>
        </w:tc>
      </w:tr>
    </w:tbl>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рамках реализации программы полезного использования попутного нефтяного газа ранее произведен запуск установки подготовки газа, компрессорной станции и газопровода на </w:t>
      </w:r>
      <w:proofErr w:type="spellStart"/>
      <w:r w:rsidRPr="00BD4779">
        <w:rPr>
          <w:rFonts w:ascii="Times New Roman" w:hAnsi="Times New Roman" w:cs="Times New Roman"/>
          <w:sz w:val="28"/>
          <w:szCs w:val="28"/>
        </w:rPr>
        <w:t>Ванкоре</w:t>
      </w:r>
      <w:proofErr w:type="spellEnd"/>
      <w:r w:rsidRPr="00BD4779">
        <w:rPr>
          <w:rFonts w:ascii="Times New Roman" w:hAnsi="Times New Roman" w:cs="Times New Roman"/>
          <w:sz w:val="28"/>
          <w:szCs w:val="28"/>
        </w:rPr>
        <w:t xml:space="preserve">, обеспечивающий транспортировку газа в Единую систему газоснабжения ОАО "Газпром" и последующую реализацию.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Согласно плану инвестиционной деятельности компании «Роснефть» начата комплексная реализация проектов на </w:t>
      </w:r>
      <w:proofErr w:type="spellStart"/>
      <w:r w:rsidRPr="00BD4779">
        <w:rPr>
          <w:rFonts w:ascii="Times New Roman" w:hAnsi="Times New Roman" w:cs="Times New Roman"/>
          <w:sz w:val="28"/>
          <w:szCs w:val="28"/>
        </w:rPr>
        <w:t>Ванкорском</w:t>
      </w:r>
      <w:proofErr w:type="spellEnd"/>
      <w:r w:rsidRPr="00BD4779">
        <w:rPr>
          <w:rFonts w:ascii="Times New Roman" w:hAnsi="Times New Roman" w:cs="Times New Roman"/>
          <w:sz w:val="28"/>
          <w:szCs w:val="28"/>
        </w:rPr>
        <w:t xml:space="preserve"> кластере. Ее дочернее общество «РН-</w:t>
      </w:r>
      <w:proofErr w:type="spellStart"/>
      <w:r w:rsidRPr="00BD4779">
        <w:rPr>
          <w:rFonts w:ascii="Times New Roman" w:hAnsi="Times New Roman" w:cs="Times New Roman"/>
          <w:sz w:val="28"/>
          <w:szCs w:val="28"/>
        </w:rPr>
        <w:t>Ванкор</w:t>
      </w:r>
      <w:proofErr w:type="spellEnd"/>
      <w:r w:rsidRPr="00BD4779">
        <w:rPr>
          <w:rFonts w:ascii="Times New Roman" w:hAnsi="Times New Roman" w:cs="Times New Roman"/>
          <w:sz w:val="28"/>
          <w:szCs w:val="28"/>
        </w:rPr>
        <w:t xml:space="preserve">» приступило к эксплуатационному бурению на </w:t>
      </w:r>
      <w:proofErr w:type="spellStart"/>
      <w:r w:rsidRPr="00BD4779">
        <w:rPr>
          <w:rFonts w:ascii="Times New Roman" w:hAnsi="Times New Roman" w:cs="Times New Roman"/>
          <w:sz w:val="28"/>
          <w:szCs w:val="28"/>
        </w:rPr>
        <w:t>Тагульском</w:t>
      </w:r>
      <w:proofErr w:type="spellEnd"/>
      <w:r w:rsidRPr="00BD4779">
        <w:rPr>
          <w:rFonts w:ascii="Times New Roman" w:hAnsi="Times New Roman" w:cs="Times New Roman"/>
          <w:sz w:val="28"/>
          <w:szCs w:val="28"/>
        </w:rPr>
        <w:t xml:space="preserve"> месторождении.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Всего в рамках проекта эксплуатационного бурения </w:t>
      </w:r>
      <w:proofErr w:type="spellStart"/>
      <w:r w:rsidRPr="00BD4779">
        <w:rPr>
          <w:rFonts w:ascii="Times New Roman" w:hAnsi="Times New Roman" w:cs="Times New Roman"/>
          <w:sz w:val="28"/>
          <w:szCs w:val="28"/>
        </w:rPr>
        <w:t>Тагульского</w:t>
      </w:r>
      <w:proofErr w:type="spellEnd"/>
      <w:r w:rsidRPr="00BD4779">
        <w:rPr>
          <w:rFonts w:ascii="Times New Roman" w:hAnsi="Times New Roman" w:cs="Times New Roman"/>
          <w:sz w:val="28"/>
          <w:szCs w:val="28"/>
        </w:rPr>
        <w:t xml:space="preserve"> месторождения предусмотрено строительство 39 кустовых площадок и более 500 скважин. Извлекаемые запасы </w:t>
      </w:r>
      <w:proofErr w:type="spellStart"/>
      <w:r w:rsidRPr="00BD4779">
        <w:rPr>
          <w:rFonts w:ascii="Times New Roman" w:hAnsi="Times New Roman" w:cs="Times New Roman"/>
          <w:sz w:val="28"/>
          <w:szCs w:val="28"/>
        </w:rPr>
        <w:t>Тагульского</w:t>
      </w:r>
      <w:proofErr w:type="spellEnd"/>
      <w:r w:rsidRPr="00BD4779">
        <w:rPr>
          <w:rFonts w:ascii="Times New Roman" w:hAnsi="Times New Roman" w:cs="Times New Roman"/>
          <w:sz w:val="28"/>
          <w:szCs w:val="28"/>
        </w:rPr>
        <w:t xml:space="preserve"> месторождения по состоянию на 1 января 2016 года составляют по категории АВС</w:t>
      </w:r>
      <w:proofErr w:type="gramStart"/>
      <w:r w:rsidRPr="00BD4779">
        <w:rPr>
          <w:rFonts w:ascii="Times New Roman" w:hAnsi="Times New Roman" w:cs="Times New Roman"/>
          <w:sz w:val="28"/>
          <w:szCs w:val="28"/>
        </w:rPr>
        <w:t>1</w:t>
      </w:r>
      <w:proofErr w:type="gramEnd"/>
      <w:r w:rsidRPr="00BD4779">
        <w:rPr>
          <w:rFonts w:ascii="Times New Roman" w:hAnsi="Times New Roman" w:cs="Times New Roman"/>
          <w:sz w:val="28"/>
          <w:szCs w:val="28"/>
        </w:rPr>
        <w:t xml:space="preserve">+С2 286 миллионов тонн нефти и конденсата и 228 миллиардов кубометров газа. </w:t>
      </w:r>
      <w:proofErr w:type="spellStart"/>
      <w:r w:rsidRPr="00BD4779">
        <w:rPr>
          <w:rFonts w:ascii="Times New Roman" w:hAnsi="Times New Roman" w:cs="Times New Roman"/>
          <w:sz w:val="28"/>
          <w:szCs w:val="28"/>
        </w:rPr>
        <w:t>Тагульское</w:t>
      </w:r>
      <w:proofErr w:type="spellEnd"/>
      <w:r w:rsidRPr="00BD4779">
        <w:rPr>
          <w:rFonts w:ascii="Times New Roman" w:hAnsi="Times New Roman" w:cs="Times New Roman"/>
          <w:sz w:val="28"/>
          <w:szCs w:val="28"/>
        </w:rPr>
        <w:t xml:space="preserve"> месторождение расположено вблизи Ванкорского месторождения, что позволяет минимизировать затраты на транспортировку нефти. В планах строительство ветки в 4,5 километра промыслового нефтепровода с соединением с магистральным нефтепроводом </w:t>
      </w:r>
      <w:proofErr w:type="spellStart"/>
      <w:r w:rsidRPr="00BD4779">
        <w:rPr>
          <w:rFonts w:ascii="Times New Roman" w:hAnsi="Times New Roman" w:cs="Times New Roman"/>
          <w:sz w:val="28"/>
          <w:szCs w:val="28"/>
        </w:rPr>
        <w:t>Ванкор</w:t>
      </w:r>
      <w:proofErr w:type="spellEnd"/>
      <w:r w:rsidRPr="00BD4779">
        <w:rPr>
          <w:rFonts w:ascii="Times New Roman" w:hAnsi="Times New Roman" w:cs="Times New Roman"/>
          <w:sz w:val="28"/>
          <w:szCs w:val="28"/>
        </w:rPr>
        <w:t xml:space="preserve"> – </w:t>
      </w:r>
      <w:proofErr w:type="spellStart"/>
      <w:r w:rsidRPr="00BD4779">
        <w:rPr>
          <w:rFonts w:ascii="Times New Roman" w:hAnsi="Times New Roman" w:cs="Times New Roman"/>
          <w:sz w:val="28"/>
          <w:szCs w:val="28"/>
        </w:rPr>
        <w:t>Пурпе</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Развитие </w:t>
      </w:r>
      <w:proofErr w:type="spellStart"/>
      <w:r w:rsidRPr="00BD4779">
        <w:rPr>
          <w:rFonts w:ascii="Times New Roman" w:hAnsi="Times New Roman" w:cs="Times New Roman"/>
          <w:sz w:val="28"/>
          <w:szCs w:val="28"/>
        </w:rPr>
        <w:t>Сузунского</w:t>
      </w:r>
      <w:proofErr w:type="spellEnd"/>
      <w:r w:rsidRPr="00BD4779">
        <w:rPr>
          <w:rFonts w:ascii="Times New Roman" w:hAnsi="Times New Roman" w:cs="Times New Roman"/>
          <w:sz w:val="28"/>
          <w:szCs w:val="28"/>
        </w:rPr>
        <w:t xml:space="preserve">, также как </w:t>
      </w:r>
      <w:proofErr w:type="spellStart"/>
      <w:r w:rsidRPr="00BD4779">
        <w:rPr>
          <w:rFonts w:ascii="Times New Roman" w:hAnsi="Times New Roman" w:cs="Times New Roman"/>
          <w:sz w:val="28"/>
          <w:szCs w:val="28"/>
        </w:rPr>
        <w:t>Тагульского</w:t>
      </w:r>
      <w:proofErr w:type="spellEnd"/>
      <w:r w:rsidRPr="00BD4779">
        <w:rPr>
          <w:rFonts w:ascii="Times New Roman" w:hAnsi="Times New Roman" w:cs="Times New Roman"/>
          <w:sz w:val="28"/>
          <w:szCs w:val="28"/>
        </w:rPr>
        <w:t xml:space="preserve"> и Лодочного месторождений, вместе образующих </w:t>
      </w:r>
      <w:proofErr w:type="spellStart"/>
      <w:r w:rsidRPr="00BD4779">
        <w:rPr>
          <w:rFonts w:ascii="Times New Roman" w:hAnsi="Times New Roman" w:cs="Times New Roman"/>
          <w:sz w:val="28"/>
          <w:szCs w:val="28"/>
        </w:rPr>
        <w:t>Ванкорский</w:t>
      </w:r>
      <w:proofErr w:type="spellEnd"/>
      <w:r w:rsidRPr="00BD4779">
        <w:rPr>
          <w:rFonts w:ascii="Times New Roman" w:hAnsi="Times New Roman" w:cs="Times New Roman"/>
          <w:sz w:val="28"/>
          <w:szCs w:val="28"/>
        </w:rPr>
        <w:t xml:space="preserve"> кластер, реализуется с использованием уже построенной и работающей инфраструктуры Ванкорского месторождения. Такая схема разработки дает значительный синергетический эффект, импульс к развитию смежных отраслей производства, отечественных технологий. Компании удалось привлечь более 160 предприятий региона к работам по развитию Ванкорского кластера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Прогнозируемые объемы добычи нефти представлены без учета объемов, добываемых на новых осваиваемых месторождениях Ванкорского кластера.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работ, выполненных организациями, осуществляющими </w:t>
      </w:r>
      <w:r w:rsidRPr="00BD4779">
        <w:rPr>
          <w:rFonts w:ascii="Times New Roman" w:hAnsi="Times New Roman" w:cs="Times New Roman"/>
          <w:b/>
          <w:bCs/>
          <w:sz w:val="28"/>
          <w:szCs w:val="28"/>
        </w:rPr>
        <w:t xml:space="preserve">производство и распределение электрической и тепловой энергии, воды </w:t>
      </w:r>
      <w:r w:rsidRPr="00BD4779">
        <w:rPr>
          <w:rFonts w:ascii="Times New Roman" w:hAnsi="Times New Roman" w:cs="Times New Roman"/>
          <w:sz w:val="28"/>
          <w:szCs w:val="28"/>
        </w:rPr>
        <w:t>для нужд района составил 1 240,7 млн. руб. или 0,3% в общем объеме промышленного производства.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Более 50% в объеме выполненных работ по ВЭД «Производство и распределение электроэнергии, газа и воды» принадлежит ОАО «</w:t>
      </w:r>
      <w:proofErr w:type="spellStart"/>
      <w:r w:rsidRPr="00BD4779">
        <w:rPr>
          <w:rFonts w:ascii="Times New Roman" w:hAnsi="Times New Roman" w:cs="Times New Roman"/>
          <w:sz w:val="28"/>
          <w:szCs w:val="28"/>
        </w:rPr>
        <w:t>Туруханскэнерго</w:t>
      </w:r>
      <w:proofErr w:type="spellEnd"/>
      <w:r w:rsidRPr="00BD4779">
        <w:rPr>
          <w:rFonts w:ascii="Times New Roman" w:hAnsi="Times New Roman" w:cs="Times New Roman"/>
          <w:sz w:val="28"/>
          <w:szCs w:val="28"/>
        </w:rPr>
        <w:t xml:space="preserve">», в связи с тем, что этим предприятиям обслуживается наибольшая часть населенных пунктов района. </w:t>
      </w:r>
      <w:proofErr w:type="gramStart"/>
      <w:r w:rsidRPr="00BD4779">
        <w:rPr>
          <w:rFonts w:ascii="Times New Roman" w:hAnsi="Times New Roman" w:cs="Times New Roman"/>
          <w:sz w:val="28"/>
          <w:szCs w:val="28"/>
        </w:rPr>
        <w:t xml:space="preserve">Вторым по объему выполненных работ по рассматриваемому ВЭД является ОАО «Многоотраслевой энергопромышленный комплекс», осуществляющий деятельность в г. Игарка. </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В прогнозируемом периоде ожидаемый объем отгруженной продукции по данному виду деятельности составляет: в 2016 году – 1 328,8 млн. руб. (107,1 % к уровню предыдущего года), в 2017 году – 1 405,8 млн. руб. (105,8% к уровню предыдущего года), в 2018 году – 1 476,1 млн. руб. (105,0% к уровню предыдущего года), в 2019 году – 1 548,5 млн. руб. (104,9% к уровню предыдущего года).</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выполненных работ по ВЭД </w:t>
      </w:r>
      <w:r w:rsidRPr="00BD4779">
        <w:rPr>
          <w:rFonts w:ascii="Times New Roman" w:hAnsi="Times New Roman" w:cs="Times New Roman"/>
          <w:b/>
          <w:bCs/>
          <w:sz w:val="28"/>
          <w:szCs w:val="28"/>
        </w:rPr>
        <w:t>«Обрабатывающие производства»</w:t>
      </w:r>
      <w:r w:rsidRPr="00BD4779">
        <w:rPr>
          <w:rFonts w:ascii="Times New Roman" w:hAnsi="Times New Roman" w:cs="Times New Roman"/>
          <w:sz w:val="28"/>
          <w:szCs w:val="28"/>
        </w:rPr>
        <w:t xml:space="preserve"> в отчетном периоде в основном сформирован филиалами подрядных организаций, осуществляющих деятельность на </w:t>
      </w:r>
      <w:proofErr w:type="spellStart"/>
      <w:r w:rsidRPr="00BD4779">
        <w:rPr>
          <w:rFonts w:ascii="Times New Roman" w:hAnsi="Times New Roman" w:cs="Times New Roman"/>
          <w:sz w:val="28"/>
          <w:szCs w:val="28"/>
        </w:rPr>
        <w:t>Ванкорском</w:t>
      </w:r>
      <w:proofErr w:type="spellEnd"/>
      <w:r w:rsidRPr="00BD4779">
        <w:rPr>
          <w:rFonts w:ascii="Times New Roman" w:hAnsi="Times New Roman" w:cs="Times New Roman"/>
          <w:sz w:val="28"/>
          <w:szCs w:val="28"/>
        </w:rPr>
        <w:t xml:space="preserve"> месторождении. Объем отгруженной продукции по данному виду деятельности в 2015 году составил 678,8 млн. руб., в том числе: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производство машин и оборудования – 383,9 тыс. руб.;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производство транспортных средств и оборудования – 270,5 млн. руб.;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целлюлозно-бумажное производство; издательская и полиграфическая деятельность – 12,4 млн. руб.;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производство электрооборудования, электронного и оптического оборудования – 12 млн. руб.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Кроме подрядных организаций, функционирующих на </w:t>
      </w:r>
      <w:proofErr w:type="spellStart"/>
      <w:r w:rsidRPr="00BD4779">
        <w:rPr>
          <w:rFonts w:ascii="Times New Roman" w:hAnsi="Times New Roman" w:cs="Times New Roman"/>
          <w:sz w:val="28"/>
          <w:szCs w:val="28"/>
        </w:rPr>
        <w:t>Ванкорском</w:t>
      </w:r>
      <w:proofErr w:type="spellEnd"/>
      <w:r w:rsidRPr="00BD4779">
        <w:rPr>
          <w:rFonts w:ascii="Times New Roman" w:hAnsi="Times New Roman" w:cs="Times New Roman"/>
          <w:sz w:val="28"/>
          <w:szCs w:val="28"/>
        </w:rPr>
        <w:t xml:space="preserve"> месторождении, менее 1 % в общем объеме отгруженной продукции по рассматриваемому виду экономической деятельности составил объем КГАУ "Редакция газеты "Маяк Севера" (ВЭД «Целлюлозно-бумажное производство; издательская и полиграфическая деятельность»). Объем отгруженных товаров данным учреждением в 2015 году составил 5,8 млн. руб. Ежегодный объем выпускаемых редакцией газет составляет 150 тыс. шт.</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Прогноз объемов отгруженной продукции, выполненных работ и услуг по ВЭД «Обрабатывающие производства» был выполнен исходя из ожидаемого сохранения объемов производства предприятиями и предварительного прогноза показателей инфляции в крае до 2018 года по соответствующим видам деятельности.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Ожидаемый объем отгруженной продукции по ВЭД «Обрабатывающие производства» составляет: в 2016 году – 713,4 млн. руб. (105,1 % к уровню предыдущего года), в 2017 году – 739,3 млн. руб. (103,6 % к уровню предыдущего года), в 2018 году – 760,1 млн. руб. (102,8% к уровню предыдущего года), в 2019 году – 772,6 млн. руб. (101,6% к уровню предыдущего года).</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целом объем промышленного производства (ВЭД «Добыча полезных ископаемых», «Обрабатывающие производства», «Производство и распределение электроэнергии, газа и воды») по территории в прогнозируемом периоде составит: в 2016 году – 313,9 </w:t>
      </w:r>
      <w:proofErr w:type="gramStart"/>
      <w:r w:rsidRPr="00BD4779">
        <w:rPr>
          <w:rFonts w:ascii="Times New Roman" w:hAnsi="Times New Roman" w:cs="Times New Roman"/>
          <w:sz w:val="28"/>
          <w:szCs w:val="28"/>
        </w:rPr>
        <w:t>млрд</w:t>
      </w:r>
      <w:proofErr w:type="gramEnd"/>
      <w:r w:rsidRPr="00BD4779">
        <w:rPr>
          <w:rFonts w:ascii="Times New Roman" w:hAnsi="Times New Roman" w:cs="Times New Roman"/>
          <w:sz w:val="28"/>
          <w:szCs w:val="28"/>
        </w:rPr>
        <w:t xml:space="preserve"> руб. (86,2% к уровню предыдущего года), в 2017 году – 275,4 млрд руб. (87,7% к уровню предыдущего года), в 2018 году – 272,5 млрд руб. (98,9% к уровню предыдущего года), в 2019 году – 260,0 </w:t>
      </w:r>
      <w:proofErr w:type="gramStart"/>
      <w:r w:rsidRPr="00BD4779">
        <w:rPr>
          <w:rFonts w:ascii="Times New Roman" w:hAnsi="Times New Roman" w:cs="Times New Roman"/>
          <w:sz w:val="28"/>
          <w:szCs w:val="28"/>
        </w:rPr>
        <w:t>млрд</w:t>
      </w:r>
      <w:proofErr w:type="gramEnd"/>
      <w:r w:rsidRPr="00BD4779">
        <w:rPr>
          <w:rFonts w:ascii="Times New Roman" w:hAnsi="Times New Roman" w:cs="Times New Roman"/>
          <w:sz w:val="28"/>
          <w:szCs w:val="28"/>
        </w:rPr>
        <w:t xml:space="preserve"> руб. (95,4% к уровню предыдущего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Сельское хозяйство</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Сельское хозяйство Туруханского района в основном представлено подсобными хозяйствами населения, расположенными преимущественно на юге района.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соответствии с реестром зарегистрированных юридических лиц, отрасль представлена единственным в Туруханском районе сельскохозяйственным предприятием – ООО «</w:t>
      </w:r>
      <w:proofErr w:type="spellStart"/>
      <w:r w:rsidRPr="00BD4779">
        <w:rPr>
          <w:rFonts w:ascii="Times New Roman" w:hAnsi="Times New Roman" w:cs="Times New Roman"/>
          <w:sz w:val="28"/>
          <w:szCs w:val="28"/>
        </w:rPr>
        <w:t>Игарская</w:t>
      </w:r>
      <w:proofErr w:type="spellEnd"/>
      <w:r w:rsidRPr="00BD4779">
        <w:rPr>
          <w:rFonts w:ascii="Times New Roman" w:hAnsi="Times New Roman" w:cs="Times New Roman"/>
          <w:sz w:val="28"/>
          <w:szCs w:val="28"/>
        </w:rPr>
        <w:t xml:space="preserve"> организация сельского хозяйства и животноводства».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Основным видом деятельности данного предприятия является животноводство (производство молочной продукции, мяса и яйца). Потребителями продукции данного предприятия выступают население и бюджетные учреждения района.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Согласно нормам действующего законодательства предприятие отнесено в разряд малых.</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Несмотря на сложные северные условия, на протяжении ряда лет тенденция развития предприятия показывает стабильную динамику, объемы производства отражают положительный результаты.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2015 году производство продукции во всех категориях хозяйств (с учетом населения) составило 118235 тыс. руб. (124,69 % к 2014 году). Основная доля в  общем объеме сельскохозяйственной продукции принадлежит животноводству – более 70%.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Производство сельхоз продукции в натуральном выражении в 2015 году составило: скот и птица -  267. тонн (102,29 %  к 2014 году),   молока –  1957 тонн (102,14 %  к 2014 году), картофеля – 2106,5 тонн (98,13% к 2014 году).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Также в отчетном 2015 году наблюдалось увеличение в сравнении с 2014 годом: поголовья скота: коров – 101,63, свиней – 100 %, поголовье овец и коз – 102,82 %, поголовье птиц- 107,56. </w:t>
      </w:r>
    </w:p>
    <w:p w:rsidR="00BD4779" w:rsidRPr="00BD4779" w:rsidRDefault="00BD4779" w:rsidP="00BD4779">
      <w:pPr>
        <w:autoSpaceDE w:val="0"/>
        <w:autoSpaceDN w:val="0"/>
        <w:adjustRightInd w:val="0"/>
        <w:spacing w:after="0"/>
        <w:ind w:firstLine="709"/>
        <w:jc w:val="both"/>
        <w:rPr>
          <w:rFonts w:ascii="Times New Roman" w:hAnsi="Times New Roman" w:cs="Times New Roman"/>
          <w:b/>
          <w:bCs/>
          <w:i/>
          <w:iCs/>
          <w:sz w:val="28"/>
          <w:szCs w:val="28"/>
        </w:rPr>
      </w:pPr>
      <w:r w:rsidRPr="00BD4779">
        <w:rPr>
          <w:rFonts w:ascii="Times New Roman" w:hAnsi="Times New Roman" w:cs="Times New Roman"/>
          <w:b/>
          <w:bCs/>
          <w:i/>
          <w:iCs/>
          <w:sz w:val="28"/>
          <w:szCs w:val="28"/>
        </w:rPr>
        <w:t>Проблемы отрасли:</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недостаточность кредитных ресурсов из-за отсутствия обеспеченности;</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неэквивалентность в товарообмене сельскохозяйственной продукции  с другими товарами;</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кадровый дефицит;</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b/>
          <w:bCs/>
          <w:i/>
          <w:iCs/>
          <w:sz w:val="28"/>
          <w:szCs w:val="28"/>
        </w:rPr>
      </w:pPr>
      <w:r w:rsidRPr="00BD4779">
        <w:rPr>
          <w:rFonts w:ascii="Times New Roman" w:hAnsi="Times New Roman" w:cs="Times New Roman"/>
          <w:sz w:val="28"/>
          <w:szCs w:val="28"/>
        </w:rPr>
        <w:t xml:space="preserve">недостаточная обеспеченность и изношенность материально-технической базы.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Жилищное строительство</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2013 году было запланировано ввести в эксплуатацию 1 000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xml:space="preserve">. жилья. Фактически было введено 1 184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xml:space="preserve">. жилья. В 2014 году планировалось ввести 1 000 </w:t>
      </w:r>
      <w:proofErr w:type="spellStart"/>
      <w:r w:rsidRPr="00BD4779">
        <w:rPr>
          <w:rFonts w:ascii="Times New Roman" w:hAnsi="Times New Roman" w:cs="Times New Roman"/>
          <w:sz w:val="28"/>
          <w:szCs w:val="28"/>
        </w:rPr>
        <w:t>кв.м</w:t>
      </w:r>
      <w:proofErr w:type="gramStart"/>
      <w:r w:rsidRPr="00BD4779">
        <w:rPr>
          <w:rFonts w:ascii="Times New Roman" w:hAnsi="Times New Roman" w:cs="Times New Roman"/>
          <w:sz w:val="28"/>
          <w:szCs w:val="28"/>
        </w:rPr>
        <w:t>.ж</w:t>
      </w:r>
      <w:proofErr w:type="gramEnd"/>
      <w:r w:rsidRPr="00BD4779">
        <w:rPr>
          <w:rFonts w:ascii="Times New Roman" w:hAnsi="Times New Roman" w:cs="Times New Roman"/>
          <w:sz w:val="28"/>
          <w:szCs w:val="28"/>
        </w:rPr>
        <w:t>илья</w:t>
      </w:r>
      <w:proofErr w:type="spellEnd"/>
      <w:r w:rsidRPr="00BD4779">
        <w:rPr>
          <w:rFonts w:ascii="Times New Roman" w:hAnsi="Times New Roman" w:cs="Times New Roman"/>
          <w:sz w:val="28"/>
          <w:szCs w:val="28"/>
        </w:rPr>
        <w:t xml:space="preserve">, фактически введено 3 191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xml:space="preserve">. жилья. В 2015 году планировалось ввести 1 000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xml:space="preserve">. жилья, фактически введено 2 138,00 </w:t>
      </w:r>
      <w:proofErr w:type="spellStart"/>
      <w:r w:rsidRPr="00BD4779">
        <w:rPr>
          <w:rFonts w:ascii="Times New Roman" w:hAnsi="Times New Roman" w:cs="Times New Roman"/>
          <w:sz w:val="28"/>
          <w:szCs w:val="28"/>
        </w:rPr>
        <w:t>кв</w:t>
      </w:r>
      <w:proofErr w:type="gramStart"/>
      <w:r w:rsidRPr="00BD4779">
        <w:rPr>
          <w:rFonts w:ascii="Times New Roman" w:hAnsi="Times New Roman" w:cs="Times New Roman"/>
          <w:sz w:val="28"/>
          <w:szCs w:val="28"/>
        </w:rPr>
        <w:t>.м</w:t>
      </w:r>
      <w:proofErr w:type="spellEnd"/>
      <w:proofErr w:type="gramEnd"/>
      <w:r w:rsidRPr="00BD4779">
        <w:rPr>
          <w:rFonts w:ascii="Times New Roman" w:hAnsi="Times New Roman" w:cs="Times New Roman"/>
          <w:sz w:val="28"/>
          <w:szCs w:val="28"/>
        </w:rPr>
        <w:t xml:space="preserve"> (26 домов).  Многоквартирные дома </w:t>
      </w:r>
      <w:proofErr w:type="gramStart"/>
      <w:r w:rsidRPr="00BD4779">
        <w:rPr>
          <w:rFonts w:ascii="Times New Roman" w:hAnsi="Times New Roman" w:cs="Times New Roman"/>
          <w:sz w:val="28"/>
          <w:szCs w:val="28"/>
        </w:rPr>
        <w:t>в</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Туруханском</w:t>
      </w:r>
      <w:proofErr w:type="gramEnd"/>
      <w:r w:rsidRPr="00BD4779">
        <w:rPr>
          <w:rFonts w:ascii="Times New Roman" w:hAnsi="Times New Roman" w:cs="Times New Roman"/>
          <w:sz w:val="28"/>
          <w:szCs w:val="28"/>
        </w:rPr>
        <w:t xml:space="preserve"> районе за последние годы не строятся из за отсутствия финансирования. </w:t>
      </w:r>
      <w:proofErr w:type="gramStart"/>
      <w:r w:rsidRPr="00BD4779">
        <w:rPr>
          <w:rFonts w:ascii="Times New Roman" w:hAnsi="Times New Roman" w:cs="Times New Roman"/>
          <w:sz w:val="28"/>
          <w:szCs w:val="28"/>
        </w:rPr>
        <w:t xml:space="preserve">Строятся индивидуальные жилые дома  за счет собственных и заемных средств застройщиков, за счет средств материнского капитала, а также оказания материальной помощи в виде строительных материалов, в рамках государственной программы Красноярского края "Создание условий для повышения традиционного образа жизни коренных малочисленных народов Красноярского края", планируется падение ввода жилья в 2016-2018 </w:t>
      </w:r>
      <w:proofErr w:type="spellStart"/>
      <w:r w:rsidRPr="00BD4779">
        <w:rPr>
          <w:rFonts w:ascii="Times New Roman" w:hAnsi="Times New Roman" w:cs="Times New Roman"/>
          <w:sz w:val="28"/>
          <w:szCs w:val="28"/>
        </w:rPr>
        <w:t>г.г</w:t>
      </w:r>
      <w:proofErr w:type="spellEnd"/>
      <w:r w:rsidRPr="00BD4779">
        <w:rPr>
          <w:rFonts w:ascii="Times New Roman" w:hAnsi="Times New Roman" w:cs="Times New Roman"/>
          <w:sz w:val="28"/>
          <w:szCs w:val="28"/>
        </w:rPr>
        <w:t>. По действующему законодательству срок выдачи разрешения на строительство индивидуального</w:t>
      </w:r>
      <w:proofErr w:type="gramEnd"/>
      <w:r w:rsidRPr="00BD4779">
        <w:rPr>
          <w:rFonts w:ascii="Times New Roman" w:hAnsi="Times New Roman" w:cs="Times New Roman"/>
          <w:sz w:val="28"/>
          <w:szCs w:val="28"/>
        </w:rPr>
        <w:t xml:space="preserve"> жилого дома составляет 10 лет. Застройщик вправе не предъявлять к вводу в эксплуатацию жилой дом, до истечения данного срока, а также имеет возможность продлить сроки строительства. В  связи с тем, что оформление ввода в эксплуатацию носит заявительный характер, невозможно прогнозировать год завершения строительства, до истечения срока действия разрешения на строительство. Поэтому при планировании ввода принята средняя величина от количества строящегося жилья.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Инвестиции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2015 году объем инвестиций в основной капитал за счет всех источников финансирования составил 37,9 млрд. рублей, что составляет 74,0% к уровню предыдущего года (в сопоставимых ценах). Значительное уменьшение объема инвестиций в отчетном году обусловлено снижением объема инвестиций по виду деятельности "Добыча полезных ископаемых", составившего в 2015 году 33,3 млрд. рублей или 87,9% в общем объеме инвестиций.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Освоение Ванкорского нефтегазового месторождения – крупный инвестиционный проект, реализуемый на территории Красноярского края. Проект осуществляется за счет средств инвестора. Срок реализации проекта – 2003-2041 годы. Общая стоимость проекта составляет 770,9</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xml:space="preserve">млрд. рублей. С 2009 года ведется промышленная добыча нефти на месторождении. В 2015 году объем добычи нефти на </w:t>
      </w:r>
      <w:proofErr w:type="spellStart"/>
      <w:r w:rsidRPr="00BD4779">
        <w:rPr>
          <w:rFonts w:ascii="Times New Roman" w:hAnsi="Times New Roman" w:cs="Times New Roman"/>
          <w:sz w:val="28"/>
          <w:szCs w:val="28"/>
        </w:rPr>
        <w:t>Ванкорском</w:t>
      </w:r>
      <w:proofErr w:type="spellEnd"/>
      <w:r w:rsidRPr="00BD4779">
        <w:rPr>
          <w:rFonts w:ascii="Times New Roman" w:hAnsi="Times New Roman" w:cs="Times New Roman"/>
          <w:sz w:val="28"/>
          <w:szCs w:val="28"/>
        </w:rPr>
        <w:t xml:space="preserve"> месторождении сохранился на уровне 2014 и составил 22 млн. тонн.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Доля инвестиций в основной капитал организаций, осуществляющих деятельность «Операции с недвижимым имуществом, аренда и предоставление услуг» в 2014 году общей сумме инвестиций составила 11,6% или 4,4 млрд.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Доля инвестиций по прочим ВЭД (Обрабатывающие производства, Производство и распределение электроэнергии, газа и воды, Строительство, Оптовая и розничная торговля, Гостиницы и рестораны, Транспорт и связь, Государственное управление, Образование, Здравоохранение и предоставление социальных услуг, Предоставление прочих коммунальных, социальных и персональных услуг) составила 0,5% или 0,2 млрд.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FF0000"/>
          <w:sz w:val="28"/>
          <w:szCs w:val="28"/>
        </w:rPr>
      </w:pPr>
      <w:r w:rsidRPr="00BD4779">
        <w:rPr>
          <w:rFonts w:ascii="Times New Roman" w:hAnsi="Times New Roman" w:cs="Times New Roman"/>
          <w:sz w:val="28"/>
          <w:szCs w:val="28"/>
        </w:rPr>
        <w:t>Основным источником финансирования инвестиций в 2015 году, как и в 2014 году, послужили собственные средства организаций – 91,8%. Доля привлеченных средств в 2015 году составила 8,2%. Сумма привлеченных средств составила 3,1 млрд. рублей, из них средства бюджетов всех уровней – 122,5 млн.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перспективе до 2019 года, в силу реализуемой программы развития нефтедобывающей отрасли, ожидается значительное преобладание данной отрасли в общей сумме инвестиций, основным источником сохранятся основные средства организаций, объем инвестиций будет несколько уменьшаться.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инвестиций в основной капитал (за исключением бюджетных средств) в расчете на 1 человека населения в отчетном году составил 2,3 млн. рублей. </w:t>
      </w:r>
      <w:proofErr w:type="gramStart"/>
      <w:r w:rsidRPr="00BD4779">
        <w:rPr>
          <w:rFonts w:ascii="Times New Roman" w:hAnsi="Times New Roman" w:cs="Times New Roman"/>
          <w:sz w:val="28"/>
          <w:szCs w:val="28"/>
        </w:rPr>
        <w:t>В прогнозируемом периоде значение данного показателя составит: в 2016 году – 2,2 млн. рублей; в 2017 году – 4,7 млн. рублей; в 2018 году – 4,8 млн. рублей; в 2019 году – 4,7 млн. рублей.</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tbl>
      <w:tblPr>
        <w:tblW w:w="0" w:type="auto"/>
        <w:tblInd w:w="113" w:type="dxa"/>
        <w:tblLook w:val="0000" w:firstRow="0" w:lastRow="0" w:firstColumn="0" w:lastColumn="0" w:noHBand="0" w:noVBand="0"/>
      </w:tblPr>
      <w:tblGrid>
        <w:gridCol w:w="4534"/>
        <w:gridCol w:w="1244"/>
        <w:gridCol w:w="1338"/>
        <w:gridCol w:w="1338"/>
        <w:gridCol w:w="1338"/>
      </w:tblGrid>
      <w:tr w:rsidR="00BD4779" w:rsidRPr="00BD4779" w:rsidTr="00D254B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Наименование показателя</w:t>
            </w:r>
          </w:p>
        </w:tc>
        <w:tc>
          <w:tcPr>
            <w:tcW w:w="0" w:type="auto"/>
            <w:tcBorders>
              <w:top w:val="single" w:sz="4" w:space="0" w:color="auto"/>
              <w:left w:val="nil"/>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2016 оценка</w:t>
            </w:r>
          </w:p>
        </w:tc>
        <w:tc>
          <w:tcPr>
            <w:tcW w:w="0" w:type="auto"/>
            <w:tcBorders>
              <w:top w:val="single" w:sz="4" w:space="0" w:color="auto"/>
              <w:left w:val="nil"/>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2017 прогноз</w:t>
            </w:r>
          </w:p>
        </w:tc>
        <w:tc>
          <w:tcPr>
            <w:tcW w:w="0" w:type="auto"/>
            <w:tcBorders>
              <w:top w:val="single" w:sz="4" w:space="0" w:color="auto"/>
              <w:left w:val="nil"/>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2018 прогноз</w:t>
            </w:r>
          </w:p>
        </w:tc>
        <w:tc>
          <w:tcPr>
            <w:tcW w:w="0" w:type="auto"/>
            <w:tcBorders>
              <w:top w:val="single" w:sz="4" w:space="0" w:color="auto"/>
              <w:left w:val="nil"/>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2019 прогноз</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 xml:space="preserve">Объем инвестиций в основной капитал </w:t>
            </w:r>
            <w:proofErr w:type="gramStart"/>
            <w:r w:rsidRPr="00BD4779">
              <w:rPr>
                <w:rFonts w:ascii="Times New Roman" w:hAnsi="Times New Roman" w:cs="Times New Roman"/>
                <w:color w:val="000000"/>
                <w:sz w:val="24"/>
                <w:szCs w:val="28"/>
              </w:rPr>
              <w:t>-в</w:t>
            </w:r>
            <w:proofErr w:type="gramEnd"/>
            <w:r w:rsidRPr="00BD4779">
              <w:rPr>
                <w:rFonts w:ascii="Times New Roman" w:hAnsi="Times New Roman" w:cs="Times New Roman"/>
                <w:color w:val="000000"/>
                <w:sz w:val="24"/>
                <w:szCs w:val="28"/>
              </w:rPr>
              <w:t>сего, тыс. рублей*</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37 105 984</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75 748 335</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77 176 205</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74 396 504</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Из них бюджетные средства, в том числе:</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129 108</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135 048</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141 125</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147 052</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-федеральный бюджет</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73 398</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76 775</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80 230</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83 599</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-краевой бюджет</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32 611</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34 111</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35 646</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37 143</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-муниципальный бюджет</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23 099</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24 162</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25 249</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26 310</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Объем инвестиций без бюджетных средств, тыс. рублей</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36 976 876</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75 613 287</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77 035 080</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74 249 452</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color w:val="000000"/>
                <w:sz w:val="24"/>
                <w:szCs w:val="28"/>
              </w:rPr>
            </w:pPr>
            <w:r w:rsidRPr="00BD4779">
              <w:rPr>
                <w:rFonts w:ascii="Times New Roman" w:hAnsi="Times New Roman" w:cs="Times New Roman"/>
                <w:color w:val="000000"/>
                <w:sz w:val="24"/>
                <w:szCs w:val="28"/>
              </w:rPr>
              <w:t>Среднегодовая численность населения, чел.</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16 439</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16 182</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15 936</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sz w:val="24"/>
                <w:szCs w:val="28"/>
              </w:rPr>
            </w:pPr>
            <w:r w:rsidRPr="00BD4779">
              <w:rPr>
                <w:rFonts w:ascii="Times New Roman" w:hAnsi="Times New Roman" w:cs="Times New Roman"/>
                <w:sz w:val="24"/>
                <w:szCs w:val="28"/>
              </w:rPr>
              <w:t>15 703</w:t>
            </w:r>
          </w:p>
        </w:tc>
      </w:tr>
      <w:tr w:rsidR="00BD4779" w:rsidRPr="00BD4779" w:rsidTr="00D254BE">
        <w:trPr>
          <w:trHeight w:val="315"/>
        </w:trPr>
        <w:tc>
          <w:tcPr>
            <w:tcW w:w="0" w:type="auto"/>
            <w:tcBorders>
              <w:top w:val="nil"/>
              <w:left w:val="single" w:sz="4" w:space="0" w:color="auto"/>
              <w:bottom w:val="single" w:sz="4" w:space="0" w:color="auto"/>
              <w:right w:val="single" w:sz="4" w:space="0" w:color="auto"/>
            </w:tcBorders>
            <w:vAlign w:val="center"/>
          </w:tcPr>
          <w:p w:rsidR="00BD4779" w:rsidRPr="00BD4779" w:rsidRDefault="00BD4779" w:rsidP="00BD4779">
            <w:pPr>
              <w:autoSpaceDE w:val="0"/>
              <w:autoSpaceDN w:val="0"/>
              <w:adjustRightInd w:val="0"/>
              <w:spacing w:after="0"/>
              <w:jc w:val="both"/>
              <w:rPr>
                <w:rFonts w:ascii="Times New Roman" w:hAnsi="Times New Roman" w:cs="Times New Roman"/>
                <w:b/>
                <w:bCs/>
                <w:color w:val="000000"/>
                <w:sz w:val="24"/>
                <w:szCs w:val="28"/>
              </w:rPr>
            </w:pPr>
            <w:r w:rsidRPr="00BD4779">
              <w:rPr>
                <w:rFonts w:ascii="Times New Roman" w:hAnsi="Times New Roman" w:cs="Times New Roman"/>
                <w:b/>
                <w:bCs/>
                <w:color w:val="000000"/>
                <w:sz w:val="24"/>
                <w:szCs w:val="28"/>
              </w:rPr>
              <w:t>Объем инвестиций (без бюджетных средств) на 1 жителя, рублей</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2 249 339</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4 672 679</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4 834 029</w:t>
            </w:r>
          </w:p>
        </w:tc>
        <w:tc>
          <w:tcPr>
            <w:tcW w:w="0" w:type="auto"/>
            <w:tcBorders>
              <w:top w:val="nil"/>
              <w:left w:val="nil"/>
              <w:bottom w:val="single" w:sz="4" w:space="0" w:color="auto"/>
              <w:right w:val="single" w:sz="4" w:space="0" w:color="auto"/>
            </w:tcBorders>
          </w:tcPr>
          <w:p w:rsidR="00BD4779" w:rsidRPr="00BD4779" w:rsidRDefault="00BD4779" w:rsidP="00BD4779">
            <w:pPr>
              <w:autoSpaceDE w:val="0"/>
              <w:autoSpaceDN w:val="0"/>
              <w:adjustRightInd w:val="0"/>
              <w:spacing w:after="0"/>
              <w:jc w:val="both"/>
              <w:rPr>
                <w:rFonts w:ascii="Times New Roman" w:hAnsi="Times New Roman" w:cs="Times New Roman"/>
                <w:b/>
                <w:bCs/>
                <w:sz w:val="24"/>
                <w:szCs w:val="28"/>
              </w:rPr>
            </w:pPr>
            <w:r w:rsidRPr="00BD4779">
              <w:rPr>
                <w:rFonts w:ascii="Times New Roman" w:hAnsi="Times New Roman" w:cs="Times New Roman"/>
                <w:b/>
                <w:bCs/>
                <w:sz w:val="24"/>
                <w:szCs w:val="28"/>
              </w:rPr>
              <w:t>4 728 361</w:t>
            </w:r>
          </w:p>
        </w:tc>
      </w:tr>
    </w:tbl>
    <w:p w:rsidR="00BD4779" w:rsidRPr="00BD4779" w:rsidRDefault="00BD4779" w:rsidP="00BD4779">
      <w:pPr>
        <w:autoSpaceDE w:val="0"/>
        <w:autoSpaceDN w:val="0"/>
        <w:adjustRightInd w:val="0"/>
        <w:spacing w:after="0"/>
        <w:ind w:firstLine="709"/>
        <w:jc w:val="both"/>
        <w:rPr>
          <w:rFonts w:ascii="Times New Roman" w:hAnsi="Times New Roman" w:cs="Times New Roman"/>
          <w:color w:val="FF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Транспорт и связь</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Протяженность района с севера на юг составляет более 800 км.  Полностью отсутствует сеть железных дорог. Практически нет развитой сети автомобильных дорог.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Река Енисей выполняет функцию глубоководной транспортной магистрали, имеющей </w:t>
      </w:r>
      <w:proofErr w:type="gramStart"/>
      <w:r w:rsidRPr="00BD4779">
        <w:rPr>
          <w:rFonts w:ascii="Times New Roman" w:hAnsi="Times New Roman" w:cs="Times New Roman"/>
          <w:sz w:val="28"/>
          <w:szCs w:val="28"/>
        </w:rPr>
        <w:t>важное значение</w:t>
      </w:r>
      <w:proofErr w:type="gramEnd"/>
      <w:r w:rsidRPr="00BD4779">
        <w:rPr>
          <w:rFonts w:ascii="Times New Roman" w:hAnsi="Times New Roman" w:cs="Times New Roman"/>
          <w:sz w:val="28"/>
          <w:szCs w:val="28"/>
        </w:rPr>
        <w:t xml:space="preserve"> для промышленного освоения района. Естественные водные пути Енисейского бассейна связывают юг и север Сибири и обеспечивают выход к Северному морскому пути. Продолжительность навигации по Енисею на территории района 4 месяца, по притокам – от 7 до 20 дней из-за мелей. Таким образом, период отсутствия речного транспортного сообщения и изолированности населённых пунктов друг от друга и краевого центра составляет: 8 месяцев (для населенных пунктов, расположенных по берегам р. Енисей) и 10-11 месяцев (для населенных пунктов, расположенных по боковым притокам).</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Стихийные «зимники» (дороги, действующие в течение 4-5 зимних месяцев) лесозаготовительных организаций по югу доходят до границ района с. </w:t>
      </w:r>
      <w:proofErr w:type="spellStart"/>
      <w:r w:rsidRPr="00BD4779">
        <w:rPr>
          <w:rFonts w:ascii="Times New Roman" w:hAnsi="Times New Roman" w:cs="Times New Roman"/>
          <w:sz w:val="28"/>
          <w:szCs w:val="28"/>
        </w:rPr>
        <w:t>Зотино</w:t>
      </w:r>
      <w:proofErr w:type="spellEnd"/>
      <w:r w:rsidRPr="00BD4779">
        <w:rPr>
          <w:rFonts w:ascii="Times New Roman" w:hAnsi="Times New Roman" w:cs="Times New Roman"/>
          <w:sz w:val="28"/>
          <w:szCs w:val="28"/>
        </w:rPr>
        <w:t xml:space="preserve">, с. </w:t>
      </w:r>
      <w:proofErr w:type="spellStart"/>
      <w:r w:rsidRPr="00BD4779">
        <w:rPr>
          <w:rFonts w:ascii="Times New Roman" w:hAnsi="Times New Roman" w:cs="Times New Roman"/>
          <w:sz w:val="28"/>
          <w:szCs w:val="28"/>
        </w:rPr>
        <w:t>Ворогово</w:t>
      </w:r>
      <w:proofErr w:type="spellEnd"/>
      <w:r w:rsidRPr="00BD4779">
        <w:rPr>
          <w:rFonts w:ascii="Times New Roman" w:hAnsi="Times New Roman" w:cs="Times New Roman"/>
          <w:sz w:val="28"/>
          <w:szCs w:val="28"/>
        </w:rPr>
        <w:t xml:space="preserve">, п. Бор; в северной части района располагаются «зимники», созданные в целях геологоразведки и освоения Ванкорского нефтегазового месторождения, от территории Тюменской области до поселений г. </w:t>
      </w:r>
      <w:proofErr w:type="spellStart"/>
      <w:r w:rsidRPr="00BD4779">
        <w:rPr>
          <w:rFonts w:ascii="Times New Roman" w:hAnsi="Times New Roman" w:cs="Times New Roman"/>
          <w:sz w:val="28"/>
          <w:szCs w:val="28"/>
        </w:rPr>
        <w:t>Игарки</w:t>
      </w:r>
      <w:proofErr w:type="spellEnd"/>
      <w:r w:rsidRPr="00BD4779">
        <w:rPr>
          <w:rFonts w:ascii="Times New Roman" w:hAnsi="Times New Roman" w:cs="Times New Roman"/>
          <w:sz w:val="28"/>
          <w:szCs w:val="28"/>
        </w:rPr>
        <w:t xml:space="preserve"> и п. Светлогорска.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Круглогодично единственным связующим звеном между населенными пунктами района являются вертолеты (Ми-8). В районе имеется четыре аэропорта: в г. Игарка, </w:t>
      </w:r>
      <w:proofErr w:type="gramStart"/>
      <w:r w:rsidRPr="00BD4779">
        <w:rPr>
          <w:rFonts w:ascii="Times New Roman" w:hAnsi="Times New Roman" w:cs="Times New Roman"/>
          <w:sz w:val="28"/>
          <w:szCs w:val="28"/>
        </w:rPr>
        <w:t>в</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с</w:t>
      </w:r>
      <w:proofErr w:type="gramEnd"/>
      <w:r w:rsidRPr="00BD4779">
        <w:rPr>
          <w:rFonts w:ascii="Times New Roman" w:hAnsi="Times New Roman" w:cs="Times New Roman"/>
          <w:sz w:val="28"/>
          <w:szCs w:val="28"/>
        </w:rPr>
        <w:t xml:space="preserve">. Туруханск, в д. Подкаменная Тунгуска, в п. Светлогорск. В каждом населенном пункте расположены посадочные полосы для техники малой авиации (вертолетов).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Внутрирайонные пассажирские и грузовые </w:t>
      </w:r>
      <w:r w:rsidRPr="00BD4779">
        <w:rPr>
          <w:rFonts w:ascii="Times New Roman" w:hAnsi="Times New Roman" w:cs="Times New Roman"/>
          <w:b/>
          <w:bCs/>
          <w:sz w:val="28"/>
          <w:szCs w:val="28"/>
        </w:rPr>
        <w:t>авиаперевозки</w:t>
      </w:r>
      <w:r w:rsidRPr="00BD4779">
        <w:rPr>
          <w:rFonts w:ascii="Times New Roman" w:hAnsi="Times New Roman" w:cs="Times New Roman"/>
          <w:sz w:val="28"/>
          <w:szCs w:val="28"/>
        </w:rPr>
        <w:t xml:space="preserve"> на территории района осуществляются круглогодично одной организацией - ООО Авиакомпания «Турухан». Предприятие также выполняет работы по линии санитарной авиации, аварийно-спасательным мероприятиям, выполняет грузовые перевозки, проводит лесоавиационные работы на юге района.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Количество перевезенных авиатранспортом пассажиров в 2015 году составило 348,4 тыс. чел., в прогнозируемом периоде ожидается сохранение данного показателя на том же уровне.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На территории района действуют два предприятия, осуществляющие </w:t>
      </w:r>
      <w:r w:rsidRPr="00BD4779">
        <w:rPr>
          <w:rFonts w:ascii="Times New Roman" w:hAnsi="Times New Roman" w:cs="Times New Roman"/>
          <w:b/>
          <w:bCs/>
          <w:sz w:val="28"/>
          <w:szCs w:val="28"/>
        </w:rPr>
        <w:t>автобусные перевозки</w:t>
      </w:r>
      <w:r w:rsidRPr="00BD4779">
        <w:rPr>
          <w:rFonts w:ascii="Times New Roman" w:hAnsi="Times New Roman" w:cs="Times New Roman"/>
          <w:sz w:val="28"/>
          <w:szCs w:val="28"/>
        </w:rPr>
        <w:t>: ОАО «Горизонт» (с. Туруханск), ООО «</w:t>
      </w:r>
      <w:proofErr w:type="spellStart"/>
      <w:r w:rsidRPr="00BD4779">
        <w:rPr>
          <w:rFonts w:ascii="Times New Roman" w:hAnsi="Times New Roman" w:cs="Times New Roman"/>
          <w:sz w:val="28"/>
          <w:szCs w:val="28"/>
        </w:rPr>
        <w:t>Автотранс</w:t>
      </w:r>
      <w:proofErr w:type="spellEnd"/>
      <w:r w:rsidRPr="00BD4779">
        <w:rPr>
          <w:rFonts w:ascii="Times New Roman" w:hAnsi="Times New Roman" w:cs="Times New Roman"/>
          <w:sz w:val="28"/>
          <w:szCs w:val="28"/>
        </w:rPr>
        <w:t xml:space="preserve">» (г. Игарка). Перевозки, указанными предприятиями, осуществляются по 6 маршрутам общей протяженностью 113,36 км. Количество перевезенных пассажиров автомобильным транспортом в 2015 году составило 308,2 тыс. чел. (94,7 % к уровню предыдущего года).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b/>
          <w:bCs/>
          <w:sz w:val="28"/>
          <w:szCs w:val="28"/>
        </w:rPr>
        <w:t>Внутренние речные перевозки</w:t>
      </w:r>
      <w:r w:rsidRPr="00BD4779">
        <w:rPr>
          <w:rFonts w:ascii="Times New Roman" w:hAnsi="Times New Roman" w:cs="Times New Roman"/>
          <w:sz w:val="28"/>
          <w:szCs w:val="28"/>
        </w:rPr>
        <w:t xml:space="preserve"> на территории МО Туруханский район (г. Игарка) осуществляет одно предприятие – ООО «</w:t>
      </w:r>
      <w:proofErr w:type="spellStart"/>
      <w:r w:rsidRPr="00BD4779">
        <w:rPr>
          <w:rFonts w:ascii="Times New Roman" w:hAnsi="Times New Roman" w:cs="Times New Roman"/>
          <w:sz w:val="28"/>
          <w:szCs w:val="28"/>
        </w:rPr>
        <w:t>Игарская</w:t>
      </w:r>
      <w:proofErr w:type="spellEnd"/>
      <w:r w:rsidRPr="00BD4779">
        <w:rPr>
          <w:rFonts w:ascii="Times New Roman" w:hAnsi="Times New Roman" w:cs="Times New Roman"/>
          <w:sz w:val="28"/>
          <w:szCs w:val="28"/>
        </w:rPr>
        <w:t xml:space="preserve"> стивидорная компания». Количество перевезенных в отчетном году пассажиров речным транспортом составило 33,1 тыс. чел. В прогнозируемом периоде ожидаемое количество перевезенных пассажиров составляет 34,9 тыс. чел. или 105,6% к уровню отчетного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Объем услуг, оказанных транспортными организациями района, в отчетном году составил 3,2 млрд. рублей (250,1% к объему предыдущего года). В прогнозируемом периоде, согласно планируемым объемам перевозок, ожидается увеличение объемов услуг, оказываемых предприятиями транспорта. В 2016 году объем услуг составит 3,3 млрд. рублей (103,9% к уровню предыдущего года); в 2017 году – 3,6 млрд. рублей (106,5% к уровню предыдущего года); в 2018 году – 3,8 млрд. рублей (106,5% к уровню предыдущего года); в 2019 году – 4,0 млрд. рублей (106,2% к уровню предыдущего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Увеличение объема услуг, оказанных транспортными организациями обусловлен расширением деятельност</w:t>
      </w:r>
      <w:proofErr w:type="gramStart"/>
      <w:r w:rsidRPr="00BD4779">
        <w:rPr>
          <w:rFonts w:ascii="Times New Roman" w:hAnsi="Times New Roman" w:cs="Times New Roman"/>
          <w:sz w:val="28"/>
          <w:szCs w:val="28"/>
        </w:rPr>
        <w:t>и ООО А</w:t>
      </w:r>
      <w:proofErr w:type="gramEnd"/>
      <w:r w:rsidRPr="00BD4779">
        <w:rPr>
          <w:rFonts w:ascii="Times New Roman" w:hAnsi="Times New Roman" w:cs="Times New Roman"/>
          <w:sz w:val="28"/>
          <w:szCs w:val="28"/>
        </w:rPr>
        <w:t xml:space="preserve">виакомпании «Турухан». Доля объема </w:t>
      </w:r>
      <w:proofErr w:type="gramStart"/>
      <w:r w:rsidRPr="00BD4779">
        <w:rPr>
          <w:rFonts w:ascii="Times New Roman" w:hAnsi="Times New Roman" w:cs="Times New Roman"/>
          <w:sz w:val="28"/>
          <w:szCs w:val="28"/>
        </w:rPr>
        <w:t>услуг, оказываемых данным предприятием составляет</w:t>
      </w:r>
      <w:proofErr w:type="gramEnd"/>
      <w:r w:rsidRPr="00BD4779">
        <w:rPr>
          <w:rFonts w:ascii="Times New Roman" w:hAnsi="Times New Roman" w:cs="Times New Roman"/>
          <w:sz w:val="28"/>
          <w:szCs w:val="28"/>
        </w:rPr>
        <w:t xml:space="preserve"> более 98%.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2015 году парк авиакомпании был расширен почти </w:t>
      </w:r>
      <w:proofErr w:type="gramStart"/>
      <w:r w:rsidRPr="00BD4779">
        <w:rPr>
          <w:rFonts w:ascii="Times New Roman" w:hAnsi="Times New Roman" w:cs="Times New Roman"/>
          <w:sz w:val="28"/>
          <w:szCs w:val="28"/>
        </w:rPr>
        <w:t>в двое</w:t>
      </w:r>
      <w:proofErr w:type="gramEnd"/>
      <w:r w:rsidRPr="00BD4779">
        <w:rPr>
          <w:rFonts w:ascii="Times New Roman" w:hAnsi="Times New Roman" w:cs="Times New Roman"/>
          <w:sz w:val="28"/>
          <w:szCs w:val="28"/>
        </w:rPr>
        <w:t xml:space="preserve"> за счет введения самолетов. Авиакомпания начала перевозку пассажиров самолетами, что привело к росту объема оказанных услуг более чем в 2,5 раза.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 целью развития транспортного комплекса на территории Туруханского района муниципальной программой Туруханского района «Развитие транспортной системы и связи» предусмотрен ряд мероприятий, осуществление которых планируется в краткосрочной перспективе.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Указанные мероприятия включают в себя выполнение следующих работ: </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содержание автомобильных дорог общего пользования местного значения; </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обустройство и содержание автозимника; </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устройство и содержание ледовой переправы для передвижения </w:t>
      </w:r>
      <w:proofErr w:type="gramStart"/>
      <w:r w:rsidRPr="00BD4779">
        <w:rPr>
          <w:rFonts w:ascii="Times New Roman" w:hAnsi="Times New Roman" w:cs="Times New Roman"/>
          <w:sz w:val="28"/>
          <w:szCs w:val="28"/>
        </w:rPr>
        <w:t>с</w:t>
      </w:r>
      <w:proofErr w:type="gramEnd"/>
      <w:r w:rsidRPr="00BD4779">
        <w:rPr>
          <w:rFonts w:ascii="Times New Roman" w:hAnsi="Times New Roman" w:cs="Times New Roman"/>
          <w:sz w:val="28"/>
          <w:szCs w:val="28"/>
        </w:rPr>
        <w:t xml:space="preserve"> островной на материковую часть г. Игарка; </w:t>
      </w:r>
    </w:p>
    <w:p w:rsidR="00BD4779" w:rsidRPr="00BD4779" w:rsidRDefault="00BD4779" w:rsidP="00BD4779">
      <w:pPr>
        <w:numPr>
          <w:ilvl w:val="0"/>
          <w:numId w:val="1"/>
        </w:numPr>
        <w:tabs>
          <w:tab w:val="left" w:pos="993"/>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предоставление субсидий на компенсацию расходов организаций воздушного транспорта, возникающих в результате государственного регулирования тарифов при осуществлении пассажирских перевозок на территории Туруханского района.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На территории района функционируют несколько предприятий, оказывающих услуги </w:t>
      </w:r>
      <w:r w:rsidRPr="00BD4779">
        <w:rPr>
          <w:rFonts w:ascii="Times New Roman" w:hAnsi="Times New Roman" w:cs="Times New Roman"/>
          <w:b/>
          <w:bCs/>
          <w:sz w:val="28"/>
          <w:szCs w:val="28"/>
        </w:rPr>
        <w:t>связи</w:t>
      </w:r>
      <w:r w:rsidRPr="00BD4779">
        <w:rPr>
          <w:rFonts w:ascii="Times New Roman" w:hAnsi="Times New Roman" w:cs="Times New Roman"/>
          <w:sz w:val="28"/>
          <w:szCs w:val="28"/>
        </w:rPr>
        <w:t xml:space="preserve">: ПАО «Ростелеком», ООО «Северные </w:t>
      </w:r>
      <w:proofErr w:type="spellStart"/>
      <w:r w:rsidRPr="00BD4779">
        <w:rPr>
          <w:rFonts w:ascii="Times New Roman" w:hAnsi="Times New Roman" w:cs="Times New Roman"/>
          <w:sz w:val="28"/>
          <w:szCs w:val="28"/>
        </w:rPr>
        <w:t>телерадиокоммуникации</w:t>
      </w:r>
      <w:proofErr w:type="spellEnd"/>
      <w:r w:rsidRPr="00BD4779">
        <w:rPr>
          <w:rFonts w:ascii="Times New Roman" w:hAnsi="Times New Roman" w:cs="Times New Roman"/>
          <w:sz w:val="28"/>
          <w:szCs w:val="28"/>
        </w:rPr>
        <w:t>», Туруханский филиал ФГУП «Почта России».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Организациями связи в течение 2015 года было оказано услуг связи на сумму 25,3 млн. рублей (124,8% к уровню предыдущего года).</w:t>
      </w:r>
    </w:p>
    <w:p w:rsidR="00BD4779" w:rsidRPr="00BD4779" w:rsidRDefault="00BD4779" w:rsidP="00BD4779">
      <w:pPr>
        <w:tabs>
          <w:tab w:val="left" w:pos="540"/>
          <w:tab w:val="left" w:pos="720"/>
          <w:tab w:val="left" w:pos="900"/>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ab/>
        <w:t xml:space="preserve">В 2015 году в районе было зарегистрировано 10 стационарных отделений почтовой связи, количество телефонизированных сельских населенных пунктов составило 22 ед. Все поселения района имеют возможность принимать телевизионные программы. </w:t>
      </w:r>
    </w:p>
    <w:p w:rsidR="00BD4779" w:rsidRPr="00BD4779" w:rsidRDefault="00BD4779" w:rsidP="00BD4779">
      <w:pPr>
        <w:tabs>
          <w:tab w:val="left" w:pos="540"/>
          <w:tab w:val="left" w:pos="720"/>
          <w:tab w:val="left" w:pos="900"/>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Количество подключенных телефонных аппаратов в отчетном периоде составило 3,6 тыс. шт.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На территории района постепенно расширяется перечень населенных пунктов, в которых населению доступны услуги операторов сотовой связи. По состоянию </w:t>
      </w:r>
      <w:proofErr w:type="gramStart"/>
      <w:r w:rsidRPr="00BD4779">
        <w:rPr>
          <w:rFonts w:ascii="Times New Roman" w:hAnsi="Times New Roman" w:cs="Times New Roman"/>
          <w:sz w:val="28"/>
          <w:szCs w:val="28"/>
        </w:rPr>
        <w:t>на конец</w:t>
      </w:r>
      <w:proofErr w:type="gramEnd"/>
      <w:r w:rsidRPr="00BD4779">
        <w:rPr>
          <w:rFonts w:ascii="Times New Roman" w:hAnsi="Times New Roman" w:cs="Times New Roman"/>
          <w:sz w:val="28"/>
          <w:szCs w:val="28"/>
        </w:rPr>
        <w:t xml:space="preserve"> 2015 года в районном центре и г. </w:t>
      </w:r>
      <w:proofErr w:type="spellStart"/>
      <w:r w:rsidRPr="00BD4779">
        <w:rPr>
          <w:rFonts w:ascii="Times New Roman" w:hAnsi="Times New Roman" w:cs="Times New Roman"/>
          <w:sz w:val="28"/>
          <w:szCs w:val="28"/>
        </w:rPr>
        <w:t>Игарке</w:t>
      </w:r>
      <w:proofErr w:type="spellEnd"/>
      <w:r w:rsidRPr="00BD4779">
        <w:rPr>
          <w:rFonts w:ascii="Times New Roman" w:hAnsi="Times New Roman" w:cs="Times New Roman"/>
          <w:sz w:val="28"/>
          <w:szCs w:val="28"/>
        </w:rPr>
        <w:t xml:space="preserve"> установлена сотовая связь, где операторами являются – «Би-</w:t>
      </w:r>
      <w:proofErr w:type="spellStart"/>
      <w:r w:rsidRPr="00BD4779">
        <w:rPr>
          <w:rFonts w:ascii="Times New Roman" w:hAnsi="Times New Roman" w:cs="Times New Roman"/>
          <w:sz w:val="28"/>
          <w:szCs w:val="28"/>
        </w:rPr>
        <w:t>Лайн</w:t>
      </w:r>
      <w:proofErr w:type="spellEnd"/>
      <w:r w:rsidRPr="00BD4779">
        <w:rPr>
          <w:rFonts w:ascii="Times New Roman" w:hAnsi="Times New Roman" w:cs="Times New Roman"/>
          <w:sz w:val="28"/>
          <w:szCs w:val="28"/>
        </w:rPr>
        <w:t>», ОАО «Теле-2», «МТС», «Мегафон»; в п. Бор обслуживание сети сотовой связи осуществляет «Мегафон», ОАО «Теле-2»; в п. Светлогорск - «Би-</w:t>
      </w:r>
      <w:proofErr w:type="spellStart"/>
      <w:r w:rsidRPr="00BD4779">
        <w:rPr>
          <w:rFonts w:ascii="Times New Roman" w:hAnsi="Times New Roman" w:cs="Times New Roman"/>
          <w:sz w:val="28"/>
          <w:szCs w:val="28"/>
        </w:rPr>
        <w:t>Лайн</w:t>
      </w:r>
      <w:proofErr w:type="spellEnd"/>
      <w:r w:rsidRPr="00BD4779">
        <w:rPr>
          <w:rFonts w:ascii="Times New Roman" w:hAnsi="Times New Roman" w:cs="Times New Roman"/>
          <w:sz w:val="28"/>
          <w:szCs w:val="28"/>
        </w:rPr>
        <w:t xml:space="preserve">», в с. </w:t>
      </w:r>
      <w:proofErr w:type="spellStart"/>
      <w:r w:rsidRPr="00BD4779">
        <w:rPr>
          <w:rFonts w:ascii="Times New Roman" w:hAnsi="Times New Roman" w:cs="Times New Roman"/>
          <w:sz w:val="28"/>
          <w:szCs w:val="28"/>
        </w:rPr>
        <w:t>Зотино</w:t>
      </w:r>
      <w:proofErr w:type="spellEnd"/>
      <w:r w:rsidRPr="00BD4779">
        <w:rPr>
          <w:rFonts w:ascii="Times New Roman" w:hAnsi="Times New Roman" w:cs="Times New Roman"/>
          <w:sz w:val="28"/>
          <w:szCs w:val="28"/>
        </w:rPr>
        <w:t xml:space="preserve"> и с. </w:t>
      </w:r>
      <w:proofErr w:type="spellStart"/>
      <w:r w:rsidRPr="00BD4779">
        <w:rPr>
          <w:rFonts w:ascii="Times New Roman" w:hAnsi="Times New Roman" w:cs="Times New Roman"/>
          <w:sz w:val="28"/>
          <w:szCs w:val="28"/>
        </w:rPr>
        <w:t>Ворогово</w:t>
      </w:r>
      <w:proofErr w:type="spellEnd"/>
      <w:r w:rsidRPr="00BD4779">
        <w:rPr>
          <w:rFonts w:ascii="Times New Roman" w:hAnsi="Times New Roman" w:cs="Times New Roman"/>
          <w:sz w:val="28"/>
          <w:szCs w:val="28"/>
        </w:rPr>
        <w:t xml:space="preserve"> – ОАО «Теле-2».</w:t>
      </w:r>
    </w:p>
    <w:p w:rsidR="00BD4779" w:rsidRPr="00BD4779" w:rsidRDefault="00BD4779" w:rsidP="00BD4779">
      <w:pPr>
        <w:tabs>
          <w:tab w:val="left" w:pos="540"/>
          <w:tab w:val="left" w:pos="720"/>
          <w:tab w:val="left" w:pos="900"/>
        </w:tabs>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ab/>
        <w:t xml:space="preserve">Дальнейшее развитие сотовой связи в районе возможно с ростом возможности операторов на рынке.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Целью социально-экономического развития Туруханского района в сфере телекоммуникаций в среднесрочной перспективе является развитие качественной и доступной почтовой, телерадиовещательной связи, доступа к сети Интернет.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Для достижения поставленной цели  проводятся следующие мероприятия:  дальнейшее развитие местной, междугородной и международной телефонной связи; развитие современных средств передачи данных; организация спутниковых каналов связи; модернизация линейно-кабельных сооружений для целей предоставления современных услуг связи (передачи данных, видео); модернизация существующих и строительство новых узлов сети передачи данных с возможностью доступа к сети Интернет для целей высокоскоростного доступа с использованием технологий </w:t>
      </w:r>
      <w:proofErr w:type="spellStart"/>
      <w:r w:rsidRPr="00BD4779">
        <w:rPr>
          <w:rFonts w:ascii="Times New Roman" w:hAnsi="Times New Roman" w:cs="Times New Roman"/>
          <w:sz w:val="28"/>
          <w:szCs w:val="28"/>
        </w:rPr>
        <w:t>xDSL</w:t>
      </w:r>
      <w:proofErr w:type="spellEnd"/>
      <w:r w:rsidRPr="00BD4779">
        <w:rPr>
          <w:rFonts w:ascii="Times New Roman" w:hAnsi="Times New Roman" w:cs="Times New Roman"/>
          <w:sz w:val="28"/>
          <w:szCs w:val="28"/>
        </w:rPr>
        <w:t xml:space="preserve"> и </w:t>
      </w:r>
      <w:proofErr w:type="spellStart"/>
      <w:r w:rsidRPr="00BD4779">
        <w:rPr>
          <w:rFonts w:ascii="Times New Roman" w:hAnsi="Times New Roman" w:cs="Times New Roman"/>
          <w:sz w:val="28"/>
          <w:szCs w:val="28"/>
        </w:rPr>
        <w:t>Wi-Fi</w:t>
      </w:r>
      <w:proofErr w:type="spellEnd"/>
      <w:r w:rsidRPr="00BD4779">
        <w:rPr>
          <w:rFonts w:ascii="Times New Roman" w:hAnsi="Times New Roman" w:cs="Times New Roman"/>
          <w:sz w:val="28"/>
          <w:szCs w:val="28"/>
        </w:rPr>
        <w:t xml:space="preserve"> в населенных пунктах.</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Предусмотренный комплекс мероприятий в сфере телекоммуникаций приведет к росту количества учреждений, оказывающих услуги связи (отделений, пунктов связи и т.п.), росту количества телефонизированных сельских населенных пунктов, росту количества квартирных телефонных аппаратов телефонной сети общего пользования; увеличение монтированной емкости АТС; расширение доступа населения и организаций к Интернет; расширение доступа населения к радио - и телевещательной информации.</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Малое предпринимательство</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Малое и среднее предпринимательство в районе в отчетном году представлено 41 малым и 1 средним предприятием (95,5% к уровню предыдущего года). Численность предпринимателей, прошедших государственную регистрацию, </w:t>
      </w:r>
      <w:proofErr w:type="gramStart"/>
      <w:r w:rsidRPr="00BD4779">
        <w:rPr>
          <w:rFonts w:ascii="Times New Roman" w:hAnsi="Times New Roman" w:cs="Times New Roman"/>
          <w:sz w:val="28"/>
          <w:szCs w:val="28"/>
        </w:rPr>
        <w:t>на конец</w:t>
      </w:r>
      <w:proofErr w:type="gramEnd"/>
      <w:r w:rsidRPr="00BD4779">
        <w:rPr>
          <w:rFonts w:ascii="Times New Roman" w:hAnsi="Times New Roman" w:cs="Times New Roman"/>
          <w:sz w:val="28"/>
          <w:szCs w:val="28"/>
        </w:rPr>
        <w:t xml:space="preserve"> 2015 года составила 173 чел. (89,6% к уровню предыдущего года).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Распределение </w:t>
      </w:r>
      <w:r w:rsidRPr="00BD4779">
        <w:rPr>
          <w:rFonts w:ascii="Times New Roman" w:hAnsi="Times New Roman" w:cs="Times New Roman"/>
          <w:b/>
          <w:bCs/>
          <w:sz w:val="28"/>
          <w:szCs w:val="28"/>
        </w:rPr>
        <w:t xml:space="preserve">малых </w:t>
      </w:r>
      <w:r w:rsidRPr="00BD4779">
        <w:rPr>
          <w:rFonts w:ascii="Times New Roman" w:hAnsi="Times New Roman" w:cs="Times New Roman"/>
          <w:sz w:val="28"/>
          <w:szCs w:val="28"/>
        </w:rPr>
        <w:t>предприятий по видам экономической деятельности в 2015 году сложилось следующим образом: сельское хозяйство – 1 ед.;   производство пищевых продуктов – 1 ед.,  строительство – 7 ед.; оптовая и розничная торговля, ремонт автотранспортных средств, мотоциклов, бытовых изделий и предметов личного пользования – 30; транспорт и связь – 2 ед. Наиболее привлекательной сферой деятельности продолжает оставаться сфера розничной торговли,  которая составляет 73,2 % от общего числа малых предприятий района. В прогнозируемом периоде ожидается, что количество малых предприятий и структура их распределения по видам экономической деятельности не изменятся.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Оборот организаций малого бизнеса (юридических лиц) в 2015 году составил 567,9 млн. руб. (90,7% к объему предыдущего года). </w:t>
      </w:r>
      <w:proofErr w:type="gramStart"/>
      <w:r w:rsidRPr="00BD4779">
        <w:rPr>
          <w:rFonts w:ascii="Times New Roman" w:hAnsi="Times New Roman" w:cs="Times New Roman"/>
          <w:sz w:val="28"/>
          <w:szCs w:val="28"/>
        </w:rPr>
        <w:t>Ожидаемый оборот организаций в дальнейшем составит: в 2016 г. – 588,1 млн. руб. (103,6% к предыдущему году), в 2017 г. – 608,1 млн. руб. (103,4% к предыдущему году), в 2018 г. – 629,4 млн. руб. (103,5% к предыдущему году), в 2019 г. – 650,4 млн. руб. (103,3% к предыдущему году).</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Среднесписочная численность работников малых предприятий в 2015 году составила 526 чел. В прогнозируемом периоде, в связи с сохранением количества малых предприятий, ожидаемая среднесписочная численность работников не изменится.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Среднемесячная заработная плата работников списочного состава организаций малого бизнеса в 2015 году составила 21,2 тыс. рублей, номинальный рост заработной платы составил 101,8%. Ожидаемый уровень заработной платы в прогнозируемом периоде составит: в 2016 году – 21,9 тыс. руб. (103,6% к предыдущему году); в 2017 году – 22,7</w:t>
      </w:r>
      <w:r w:rsidRPr="00BD4779">
        <w:rPr>
          <w:rFonts w:ascii="Times New Roman" w:hAnsi="Times New Roman" w:cs="Times New Roman"/>
          <w:b/>
          <w:bCs/>
          <w:sz w:val="28"/>
          <w:szCs w:val="28"/>
        </w:rPr>
        <w:t xml:space="preserve"> </w:t>
      </w:r>
      <w:r w:rsidRPr="00BD4779">
        <w:rPr>
          <w:rFonts w:ascii="Times New Roman" w:hAnsi="Times New Roman" w:cs="Times New Roman"/>
          <w:sz w:val="28"/>
          <w:szCs w:val="28"/>
        </w:rPr>
        <w:t>тыс. руб. (103,3% к предыдущему году); в 2018 году – 23,4</w:t>
      </w:r>
      <w:r w:rsidRPr="00BD4779">
        <w:rPr>
          <w:rFonts w:ascii="Times New Roman" w:hAnsi="Times New Roman" w:cs="Times New Roman"/>
          <w:b/>
          <w:bCs/>
          <w:sz w:val="28"/>
          <w:szCs w:val="28"/>
        </w:rPr>
        <w:t xml:space="preserve"> </w:t>
      </w:r>
      <w:r w:rsidRPr="00BD4779">
        <w:rPr>
          <w:rFonts w:ascii="Times New Roman" w:hAnsi="Times New Roman" w:cs="Times New Roman"/>
          <w:sz w:val="28"/>
          <w:szCs w:val="28"/>
        </w:rPr>
        <w:t>тыс. руб. (103,3% к предыдущему году); в 2019 году – 24,2</w:t>
      </w:r>
      <w:r w:rsidRPr="00BD4779">
        <w:rPr>
          <w:rFonts w:ascii="Times New Roman" w:hAnsi="Times New Roman" w:cs="Times New Roman"/>
          <w:b/>
          <w:bCs/>
          <w:sz w:val="28"/>
          <w:szCs w:val="28"/>
        </w:rPr>
        <w:t xml:space="preserve"> </w:t>
      </w:r>
      <w:r w:rsidRPr="00BD4779">
        <w:rPr>
          <w:rFonts w:ascii="Times New Roman" w:hAnsi="Times New Roman" w:cs="Times New Roman"/>
          <w:sz w:val="28"/>
          <w:szCs w:val="28"/>
        </w:rPr>
        <w:t>тыс. руб. (103,2% к предыдущему году).</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На территории муниципального образования функционирует одно </w:t>
      </w:r>
      <w:r w:rsidRPr="00BD4779">
        <w:rPr>
          <w:rFonts w:ascii="Times New Roman" w:hAnsi="Times New Roman" w:cs="Times New Roman"/>
          <w:b/>
          <w:bCs/>
          <w:sz w:val="28"/>
          <w:szCs w:val="28"/>
        </w:rPr>
        <w:t>среднее</w:t>
      </w:r>
      <w:r w:rsidRPr="00BD4779">
        <w:rPr>
          <w:rFonts w:ascii="Times New Roman" w:hAnsi="Times New Roman" w:cs="Times New Roman"/>
          <w:sz w:val="28"/>
          <w:szCs w:val="28"/>
        </w:rPr>
        <w:t xml:space="preserve"> предприятие ООО «</w:t>
      </w:r>
      <w:proofErr w:type="spellStart"/>
      <w:r w:rsidRPr="00BD4779">
        <w:rPr>
          <w:rFonts w:ascii="Times New Roman" w:hAnsi="Times New Roman" w:cs="Times New Roman"/>
          <w:sz w:val="28"/>
          <w:szCs w:val="28"/>
        </w:rPr>
        <w:t>Игарская</w:t>
      </w:r>
      <w:proofErr w:type="spellEnd"/>
      <w:r w:rsidRPr="00BD4779">
        <w:rPr>
          <w:rFonts w:ascii="Times New Roman" w:hAnsi="Times New Roman" w:cs="Times New Roman"/>
          <w:sz w:val="28"/>
          <w:szCs w:val="28"/>
        </w:rPr>
        <w:t xml:space="preserve"> стивидорная компания» (ВЭД «Транспорт и связь»). Уменьшение количества средних предприятия, функционирующих на территории района, обусловлено тем, что ранее отнесенное к этой категории предприятий ООО Авиакомпания «Турухан» переведено в категорию крупных предприятий, так как оборот предприятия превысил 2 млрд. рублей и среднесписочная численность работников составила более 250 человек.</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Оборот среднего предприятия в 2015 году составил 18,0 млн. руб. Прогнозируемый объем выполненных работ составляет: в 2016 г. – 5,1 млн. руб. (28,5% к предыдущему году), в 2017 г. – 5,5 млн. руб. (106,2% к предыдущему году), в 2018 г. – 5,8 млн. руб. (106,2% к предыдущему году), в 2019 г. – 6,2 млн. руб. (106,2% к предыдущему году).</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Среднесписочная численность работников средних предприятий в 2015 году составила 144 чел. В прогнозируемом периоде ожидается сохранение среднесписочной численности работников на уровне 2015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Среднемесячная заработная плата работников списочного состава организаций среднего бизнеса в 2015 году составила 42,3 тыс. рублей (64,2% к уровню предыдущего года). </w:t>
      </w:r>
      <w:proofErr w:type="gramStart"/>
      <w:r w:rsidRPr="00BD4779">
        <w:rPr>
          <w:rFonts w:ascii="Times New Roman" w:hAnsi="Times New Roman" w:cs="Times New Roman"/>
          <w:sz w:val="28"/>
          <w:szCs w:val="28"/>
        </w:rPr>
        <w:t>Ожидаемый уровень заработной платы в прогнозируемом периоде составляет: в 2016 году – 45,3 тыс. руб. (107,1% к уровню предыдущего года), в 2017 году – 47,7 тыс. руб. (105,3% к уровню предыдущего года), в 2018 году – 50,0 тыс. руб. (104,7% к уровню предыдущего года), в 2019 году – 52,1 тыс. руб. (104,3% к уровню предыдущего года).</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 целью оказания результативной государственной и муниципальной поддержки на территории района на базе библиотек функционируют два информационно-правовых центра (с. Туруханск, г. Игарка), с участием которых осуществляется работа дистанционного информационно-консультационного </w:t>
      </w:r>
      <w:proofErr w:type="gramStart"/>
      <w:r w:rsidRPr="00BD4779">
        <w:rPr>
          <w:rFonts w:ascii="Times New Roman" w:hAnsi="Times New Roman" w:cs="Times New Roman"/>
          <w:sz w:val="28"/>
          <w:szCs w:val="28"/>
        </w:rPr>
        <w:t>бизнес-инкубатора</w:t>
      </w:r>
      <w:proofErr w:type="gramEnd"/>
      <w:r w:rsidRPr="00BD4779">
        <w:rPr>
          <w:rFonts w:ascii="Times New Roman" w:hAnsi="Times New Roman" w:cs="Times New Roman"/>
          <w:sz w:val="28"/>
          <w:szCs w:val="28"/>
        </w:rPr>
        <w:t>. Также органами местного самоуправления постоянно оказываются информационно-консультационная поддержка субъектов малого предпринимательства, консультационная помощь при оформлении документов для получения финансовой поддержки, имущественная поддержка (предоставление в аренду муниципального имущества субъектам малого и среднего предпринимательства).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Постановлением администрации Туруханского района от 20.10.2014 №1414-п утверждена муниципальная программа Туруханского района «Развитие малого и среднего предпринимательства на территории Туруханского района». Данная программа включает в себя 4 подпрограммы, задачами которых является создание благоприятных условий для развития малого и среднего предпринимательства в Туруханском районе и улучшение социального климата на территории Туруханского района</w:t>
      </w:r>
    </w:p>
    <w:p w:rsid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Реализация указанных выше мероприятий позволяет сформировать благоприятную экономическую среду для развития предпринимательства в районе. В рамках данного направления планируется популяризация идеи организации собственного дела, что в свою очередь приведет к повышению благосостояния жителей, росту занятости населения, повышению конкурентоспособности продукции, работ, услуг, производимых в районе, увеличит поступление налогов в бюджет района.</w:t>
      </w:r>
    </w:p>
    <w:p w:rsid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Внешнеэкономическая деятельность</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Внешнеэкономическая деятельность на территории Туруханского района не ведется.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Результаты финансовой деятельности предприятий</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2015 году сальдированный финансовый результат крупных и средних предприятий района сложился в сумме 60,5 млрд. рублей, что составило 74,1% к уровню предыдущего года. Снижение сальдированного финансового результата в отчетном году </w:t>
      </w:r>
      <w:proofErr w:type="gramStart"/>
      <w:r w:rsidRPr="00BD4779">
        <w:rPr>
          <w:rFonts w:ascii="Times New Roman" w:hAnsi="Times New Roman" w:cs="Times New Roman"/>
          <w:sz w:val="28"/>
          <w:szCs w:val="28"/>
        </w:rPr>
        <w:t>обусловлен</w:t>
      </w:r>
      <w:proofErr w:type="gramEnd"/>
      <w:r w:rsidRPr="00BD4779">
        <w:rPr>
          <w:rFonts w:ascii="Times New Roman" w:hAnsi="Times New Roman" w:cs="Times New Roman"/>
          <w:sz w:val="28"/>
          <w:szCs w:val="28"/>
        </w:rPr>
        <w:t xml:space="preserve"> снижением суммы прибыли прибыльных предприятий на 25%.</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Основная доля в общей сумме прибыли прибыльных предприятий (99,9%) принадлежит нефтедобывающей отрасли. В отчетном году прибыль предприятий, осуществляющих деятельность по ВЭД «Добыча полезных ископаемых» составила 61,2 млрд. руб. или 75,1% к уровню предыдущего года. Согласно параметрам программы развития нефтедобывающей отрасли, на территории региона, в прогнозируемом периоде также ожидается снижение прибыли по данному виду деятельности.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r w:rsidRPr="00BD4779">
        <w:rPr>
          <w:rFonts w:ascii="Times New Roman" w:hAnsi="Times New Roman" w:cs="Times New Roman"/>
          <w:sz w:val="28"/>
          <w:szCs w:val="28"/>
        </w:rPr>
        <w:tab/>
        <w:t xml:space="preserve">Сумма убытков убыточных предприятий в отчетном году составила 872,6 млн. руб., что в 3,4 раза превысило уровень предыдущего года. Увеличение суммы убытков вызвано увеличением отрицательного финансового результата предприятий по виду экономической деятельности «Производство и распределение электроэнергии, газа и воды». Сумма убытков по </w:t>
      </w:r>
      <w:proofErr w:type="gramStart"/>
      <w:r w:rsidRPr="00BD4779">
        <w:rPr>
          <w:rFonts w:ascii="Times New Roman" w:hAnsi="Times New Roman" w:cs="Times New Roman"/>
          <w:sz w:val="28"/>
          <w:szCs w:val="28"/>
        </w:rPr>
        <w:t>указанному</w:t>
      </w:r>
      <w:proofErr w:type="gramEnd"/>
      <w:r w:rsidRPr="00BD4779">
        <w:rPr>
          <w:rFonts w:ascii="Times New Roman" w:hAnsi="Times New Roman" w:cs="Times New Roman"/>
          <w:sz w:val="28"/>
          <w:szCs w:val="28"/>
        </w:rPr>
        <w:t xml:space="preserve"> ВЭД составила 636,6 млн. руб., превышение суммы убытков предыдущего года составило 2,8 раза.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силу значительного влияния нефтедобывающей отрасли на формирование сальдированного финансового результата, в прогнозируемом периоде также ожидается тенденция </w:t>
      </w:r>
      <w:proofErr w:type="gramStart"/>
      <w:r w:rsidRPr="00BD4779">
        <w:rPr>
          <w:rFonts w:ascii="Times New Roman" w:hAnsi="Times New Roman" w:cs="Times New Roman"/>
          <w:sz w:val="28"/>
          <w:szCs w:val="28"/>
        </w:rPr>
        <w:t>снижения положительного сальдированного результата финансовой деятельности предприятий района</w:t>
      </w:r>
      <w:proofErr w:type="gram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jc w:val="both"/>
        <w:rPr>
          <w:rFonts w:ascii="Times New Roman" w:hAnsi="Times New Roman" w:cs="Times New Roman"/>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Бюджет муниципального образования</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Доходы районного бюджета 2016 года прогнозировался в объеме 3 305 412,348 тыс. рублей. В структуре доходов районного бюджета поступление налоговых и неналоговых доходов прогнозируется в сумме 1 190 808,902 тыс. рублей(36,9% от общей суммы доходов).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Сумма налоговых доходов сложилась из следующих поступлений: налога на прибыль организаций, налога на доходы физических лиц, налогов на совокупный доход (ЕНВД), налога на имущество физических лиц, земельного налога, государственной пошлины.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 xml:space="preserve">Неналоговые доходы консолидированного бюджета МО Туруханский район в 2016 году сформированы из следующих доходов: </w:t>
      </w:r>
      <w:r w:rsidRPr="00BD4779">
        <w:rPr>
          <w:rFonts w:ascii="Times New Roman" w:hAnsi="Times New Roman" w:cs="Times New Roman"/>
          <w:spacing w:val="4"/>
          <w:sz w:val="28"/>
          <w:szCs w:val="28"/>
        </w:rPr>
        <w:t xml:space="preserve">доходы от использования имущества, находящегося в государственной и муниципальной собственности, доходы от платы за негативное воздействие на окружающую среду, </w:t>
      </w:r>
      <w:r w:rsidRPr="00BD4779">
        <w:rPr>
          <w:rFonts w:ascii="Times New Roman" w:hAnsi="Times New Roman" w:cs="Times New Roman"/>
          <w:sz w:val="28"/>
          <w:szCs w:val="28"/>
        </w:rPr>
        <w:t xml:space="preserve">доходов от оказания платных услуг (работ) и компенсации затрат государства, доходов от </w:t>
      </w:r>
      <w:proofErr w:type="spellStart"/>
      <w:r w:rsidRPr="00BD4779">
        <w:rPr>
          <w:rFonts w:ascii="Times New Roman" w:hAnsi="Times New Roman" w:cs="Times New Roman"/>
          <w:sz w:val="28"/>
          <w:szCs w:val="28"/>
        </w:rPr>
        <w:t>продажы</w:t>
      </w:r>
      <w:proofErr w:type="spellEnd"/>
      <w:r w:rsidRPr="00BD4779">
        <w:rPr>
          <w:rFonts w:ascii="Times New Roman" w:hAnsi="Times New Roman" w:cs="Times New Roman"/>
          <w:sz w:val="28"/>
          <w:szCs w:val="28"/>
        </w:rPr>
        <w:t xml:space="preserve"> материальных и нематериальных активов, доходов от штрафов, санкций, возмещения ущерба.</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pacing w:val="4"/>
          <w:sz w:val="28"/>
          <w:szCs w:val="28"/>
        </w:rPr>
      </w:pPr>
      <w:r w:rsidRPr="00BD4779">
        <w:rPr>
          <w:rFonts w:ascii="Times New Roman" w:hAnsi="Times New Roman" w:cs="Times New Roman"/>
          <w:sz w:val="28"/>
          <w:szCs w:val="28"/>
        </w:rPr>
        <w:t xml:space="preserve">Основную долю неналоговых доходов составляют </w:t>
      </w:r>
      <w:r w:rsidRPr="00BD4779">
        <w:rPr>
          <w:rFonts w:ascii="Times New Roman" w:hAnsi="Times New Roman" w:cs="Times New Roman"/>
          <w:spacing w:val="4"/>
          <w:sz w:val="28"/>
          <w:szCs w:val="28"/>
        </w:rPr>
        <w:t xml:space="preserve"> доходы от использования имущества (177 685,859 тыс.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spacing w:val="4"/>
          <w:sz w:val="28"/>
          <w:szCs w:val="28"/>
        </w:rPr>
      </w:pPr>
      <w:r w:rsidRPr="00BD4779">
        <w:rPr>
          <w:rFonts w:ascii="Times New Roman" w:hAnsi="Times New Roman" w:cs="Times New Roman"/>
          <w:spacing w:val="4"/>
          <w:sz w:val="28"/>
          <w:szCs w:val="28"/>
        </w:rPr>
        <w:t xml:space="preserve">Расходы консолидированного бюджета 2016 года прогнозировались в объеме </w:t>
      </w:r>
      <w:r w:rsidRPr="00BD4779">
        <w:rPr>
          <w:rFonts w:ascii="Times New Roman" w:hAnsi="Times New Roman" w:cs="Times New Roman"/>
          <w:sz w:val="28"/>
          <w:szCs w:val="28"/>
        </w:rPr>
        <w:t xml:space="preserve">3 231 355,902 тыс. рублей.  Основную долю расходов составили расходы на жилищно-коммунальное хозяйство - 1 425 422, 067 тыс. рублей и расходы на образование - 927 691,495 </w:t>
      </w:r>
      <w:proofErr w:type="spellStart"/>
      <w:r w:rsidRPr="00BD4779">
        <w:rPr>
          <w:rFonts w:ascii="Times New Roman" w:hAnsi="Times New Roman" w:cs="Times New Roman"/>
          <w:sz w:val="28"/>
          <w:szCs w:val="28"/>
        </w:rPr>
        <w:t>тыс</w:t>
      </w:r>
      <w:proofErr w:type="gramStart"/>
      <w:r w:rsidRPr="00BD4779">
        <w:rPr>
          <w:rFonts w:ascii="Times New Roman" w:hAnsi="Times New Roman" w:cs="Times New Roman"/>
          <w:sz w:val="28"/>
          <w:szCs w:val="28"/>
        </w:rPr>
        <w:t>.р</w:t>
      </w:r>
      <w:proofErr w:type="gramEnd"/>
      <w:r w:rsidRPr="00BD4779">
        <w:rPr>
          <w:rFonts w:ascii="Times New Roman" w:hAnsi="Times New Roman" w:cs="Times New Roman"/>
          <w:sz w:val="28"/>
          <w:szCs w:val="28"/>
        </w:rPr>
        <w:t>ублей</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Общественное питание</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Сеть объектов общественного питания представлена на территории района</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11</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столовыми, находящимся на балансе учебных заведений, организаций, промышленных предприятий с общим количеством мест</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657 ед.,</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2 закусочными с общим количеством мест 150 ед. и 3 объектами общественного питания, относящихся к категории «Рестораны, кафе, бары» с общим количеством мест 170 ед.</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Оборот общественного питания в отчетном году составил 1,3 млрд. рублей или 85,8% к объему предыдущего года (в сопоставимых ценах). </w:t>
      </w:r>
      <w:proofErr w:type="gramStart"/>
      <w:r w:rsidRPr="00BD4779">
        <w:rPr>
          <w:rFonts w:ascii="Times New Roman" w:hAnsi="Times New Roman" w:cs="Times New Roman"/>
          <w:sz w:val="28"/>
          <w:szCs w:val="28"/>
        </w:rPr>
        <w:t>В прогнозируемом периоде ожидаемый оборот общественного питания составит: в 2016 году – 1,4 млрд. рублей (100% к предыдущему году), в 2017 году</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1,5 млрд. рублей (101,6% к предыдущему году), в 2018 году – 1,6 млрд. рублей</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xml:space="preserve">(102,3% к предыдущему году), в </w:t>
      </w:r>
      <w:r w:rsidRPr="00BD4779">
        <w:rPr>
          <w:rFonts w:ascii="Times New Roman" w:hAnsi="Times New Roman" w:cs="Times New Roman"/>
          <w:color w:val="000000"/>
          <w:sz w:val="28"/>
          <w:szCs w:val="28"/>
        </w:rPr>
        <w:t>2019 году – 1,8 млрд. рублей (102,8% к предыдущему году).</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Розничная торговля</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FF0000"/>
          <w:sz w:val="28"/>
          <w:szCs w:val="28"/>
        </w:rPr>
      </w:pPr>
      <w:r w:rsidRPr="00BD4779">
        <w:rPr>
          <w:rFonts w:ascii="Times New Roman" w:hAnsi="Times New Roman" w:cs="Times New Roman"/>
          <w:sz w:val="28"/>
          <w:szCs w:val="28"/>
        </w:rPr>
        <w:t>Розничная торговля на территории района характеризуется хорошо развитой торговой сетью. На территории всех поселений и на межселенной территории района действуют торговые точки. Для развития потребительского рынка на территории Туруханского района на сегодняшний день особо значимой является деятельность предприятий и индивидуальных предпринимателей, осуществляющих доставку товаров первой необходимости в самые отдаленные населенные пункты района.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Не смотря на существующие проблемы развития потребительского рынка, связанные с сезонной продовольственной зависимостью района обусловленной географическим положением района и недостаточно развитой транспортной инфраструктурой, на территории района существует здоровая конкуренция на рынке товаров. Ассортимент завоза обширен и многообразен, для потребителя существует выбор потребительских товаров.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В отчетном году количество магазинов, осуществляющих деятельность на территории муниципального образования Туруханский район, составило 195 единиц с площадью торговых залов 10,3 тыс. кв. м. </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000000"/>
          <w:sz w:val="28"/>
          <w:szCs w:val="28"/>
        </w:rPr>
      </w:pPr>
      <w:r w:rsidRPr="00BD4779">
        <w:rPr>
          <w:rFonts w:ascii="Times New Roman" w:hAnsi="Times New Roman" w:cs="Times New Roman"/>
          <w:sz w:val="28"/>
          <w:szCs w:val="28"/>
        </w:rPr>
        <w:t>Оборот розничной торговли в отчетном году составил 1,7 млрд. рублей (85,9% в сопоставимых ценах к предыдущему году</w:t>
      </w:r>
      <w:proofErr w:type="gramStart"/>
      <w:r w:rsidRPr="00BD4779">
        <w:rPr>
          <w:rFonts w:ascii="Times New Roman" w:hAnsi="Times New Roman" w:cs="Times New Roman"/>
          <w:sz w:val="28"/>
          <w:szCs w:val="28"/>
        </w:rPr>
        <w:t xml:space="preserve"> В</w:t>
      </w:r>
      <w:proofErr w:type="gramEnd"/>
      <w:r w:rsidRPr="00BD4779">
        <w:rPr>
          <w:rFonts w:ascii="Times New Roman" w:hAnsi="Times New Roman" w:cs="Times New Roman"/>
          <w:sz w:val="28"/>
          <w:szCs w:val="28"/>
        </w:rPr>
        <w:t xml:space="preserve"> прогнозируемом периоде ожидаемый оборот розничной торговли составит: в 2016 году – 1,8 млрд. рублей (96,5% к предыдущему году), в 2017 году</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1,9 млрд. рублей (100,9% к предыдущему году), в 2018 году – 2,0 млрд. рублей</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xml:space="preserve">(102% к предыдущему году), в </w:t>
      </w:r>
      <w:r w:rsidRPr="00BD4779">
        <w:rPr>
          <w:rFonts w:ascii="Times New Roman" w:hAnsi="Times New Roman" w:cs="Times New Roman"/>
          <w:color w:val="000000"/>
          <w:sz w:val="28"/>
          <w:szCs w:val="28"/>
        </w:rPr>
        <w:t>2019 году – 2,2 млрд. рублей (103% к предыдущему году).</w:t>
      </w:r>
    </w:p>
    <w:p w:rsidR="00BD4779" w:rsidRPr="00BD4779" w:rsidRDefault="00BD4779" w:rsidP="00BD4779">
      <w:pPr>
        <w:autoSpaceDE w:val="0"/>
        <w:autoSpaceDN w:val="0"/>
        <w:adjustRightInd w:val="0"/>
        <w:spacing w:after="0"/>
        <w:jc w:val="both"/>
        <w:rPr>
          <w:rFonts w:ascii="Times New Roman" w:hAnsi="Times New Roman" w:cs="Times New Roman"/>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Платные услуги населению</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По итогам отчетного года на территории района бытовые услуги населению были оказаны 24 организациями, из которых 6 организаций оказывали парикмахерские и косметические услуги, 4 организации – услуги бань, 3 организации – услуги по ремонту и пошиву швейных изделий, 3 организации – услуги по ремонту и техническому обслуживанию бытовой аппаратуры, 3 организации – услуги фотоателье, 2 организации – услуги прачечных, 1 организация – услуги по ремонту обуви</w:t>
      </w:r>
      <w:proofErr w:type="gramEnd"/>
      <w:r w:rsidRPr="00BD4779">
        <w:rPr>
          <w:rFonts w:ascii="Times New Roman" w:hAnsi="Times New Roman" w:cs="Times New Roman"/>
          <w:sz w:val="28"/>
          <w:szCs w:val="28"/>
        </w:rPr>
        <w:t>, 1 организация – услуги по ремонту транспортных средств, 1 организация – ритуальные услуги.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перспективе ожидается увеличение количества субъектов, оказывающих услуги населению, что связано с действующими программами государственной и муниципальной поддержки малого и среднего предпринимательства, согласно которым субъекты малого и среднего предпринимательства могут получить существенную помощь на начало и развитие собственного дела.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Объем платных услуг, оказанных населению в 2015 году, составил 933,9 млн. руб., в сопоставимых ценах этот объем составил 112,2% к уровню предыдущего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Основную долю (92,1%) платных услуг, оказываемых населению, составляют жилищные и коммунальные услуги.  </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BD4779">
        <w:rPr>
          <w:rFonts w:ascii="Times New Roman" w:hAnsi="Times New Roman" w:cs="Times New Roman"/>
          <w:sz w:val="28"/>
          <w:szCs w:val="28"/>
        </w:rPr>
        <w:t>В перспективе до 2019 года прогнозируемым объем услуг составляет: в 2016 году – 955,3 млн. руб. (95,6% в сопоставимых ценах к предыдущему году), в 2017 году – 994,9 млн. руб. (99,3% в сопоставимых ценах к предыдущему году), в 2018 году – 1 052,0 млн. руб. (100,9% в сопоставимых ценах к предыдущему году), в 2019 году – 1 119,1 млн. руб. (101,8% в сопоставимых ценах</w:t>
      </w:r>
      <w:proofErr w:type="gramEnd"/>
      <w:r w:rsidRPr="00BD4779">
        <w:rPr>
          <w:rFonts w:ascii="Times New Roman" w:hAnsi="Times New Roman" w:cs="Times New Roman"/>
          <w:sz w:val="28"/>
          <w:szCs w:val="28"/>
        </w:rPr>
        <w:t xml:space="preserve"> к предыдущему году).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Уровень жизни населения</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Основным показателем, характеризующим уровень жизни населения, является уровень среднедушевых доходов. В 2015 году среднедушевые денежные доходы населения в месяц составили 44 262,6 рублей, реально снизившись на 2,5% по отношению к 2014 году. В перспективе ожидаемая динамика среднедушевых доходов населения следующая: 2016 г. – 43 287,0 руб. (91,3% к уровню предыдущего года); 2017 г. – 45 811,7 руб. (100,5% к уровню предыдущего года); 2018 г. – 46 963,9 руб. (97,9% к уровню предыдущего года); 2019 г. – 48 145,0 руб. (98,3% к уровню предыдущего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Среднегодовой показатель установленного прожиточного минимума на душу населения по итогам 2015 года составил 20 289 руб.; по основным социально-демографическим категориям населения: </w:t>
      </w:r>
    </w:p>
    <w:p w:rsidR="00BD4779" w:rsidRPr="00BD4779" w:rsidRDefault="00BD4779" w:rsidP="00BD4779">
      <w:pPr>
        <w:numPr>
          <w:ilvl w:val="0"/>
          <w:numId w:val="1"/>
        </w:numPr>
        <w:autoSpaceDE w:val="0"/>
        <w:autoSpaceDN w:val="0"/>
        <w:adjustRightInd w:val="0"/>
        <w:spacing w:after="0"/>
        <w:ind w:left="1260"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для трудоспособного населения – 20 908 руб.; </w:t>
      </w:r>
    </w:p>
    <w:p w:rsidR="00BD4779" w:rsidRPr="00BD4779" w:rsidRDefault="00BD4779" w:rsidP="00BD4779">
      <w:pPr>
        <w:numPr>
          <w:ilvl w:val="0"/>
          <w:numId w:val="1"/>
        </w:numPr>
        <w:autoSpaceDE w:val="0"/>
        <w:autoSpaceDN w:val="0"/>
        <w:adjustRightInd w:val="0"/>
        <w:spacing w:after="0"/>
        <w:ind w:left="1260"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для пенсионеров – 15 664 руб., </w:t>
      </w:r>
    </w:p>
    <w:p w:rsidR="00BD4779" w:rsidRPr="00BD4779" w:rsidRDefault="00BD4779" w:rsidP="00BD4779">
      <w:pPr>
        <w:numPr>
          <w:ilvl w:val="0"/>
          <w:numId w:val="1"/>
        </w:numPr>
        <w:autoSpaceDE w:val="0"/>
        <w:autoSpaceDN w:val="0"/>
        <w:adjustRightInd w:val="0"/>
        <w:spacing w:after="0"/>
        <w:ind w:left="1260" w:firstLine="709"/>
        <w:jc w:val="both"/>
        <w:rPr>
          <w:rFonts w:ascii="Times New Roman" w:hAnsi="Times New Roman" w:cs="Times New Roman"/>
          <w:sz w:val="28"/>
          <w:szCs w:val="28"/>
        </w:rPr>
      </w:pPr>
      <w:r w:rsidRPr="00BD4779">
        <w:rPr>
          <w:rFonts w:ascii="Times New Roman" w:hAnsi="Times New Roman" w:cs="Times New Roman"/>
          <w:sz w:val="28"/>
          <w:szCs w:val="28"/>
        </w:rPr>
        <w:t>для детей – 20 296 руб.</w:t>
      </w:r>
    </w:p>
    <w:p w:rsidR="00BD4779" w:rsidRPr="00BD4779" w:rsidRDefault="00BD4779" w:rsidP="00BD4779">
      <w:pPr>
        <w:numPr>
          <w:ilvl w:val="12"/>
          <w:numId w:val="0"/>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Превышение среднедушевых доходов населения над среднемесячным показателем установленного прожиточного минимума на душу населения в 2015 году составило 2,2 раза. В данной ситуации необходимо отметить, что среднедушевой доход населения рассчитывается исходя из общей суммы денежных доходов населения, в которой основная доля принадлежит фонду оплаты труда работников. В свою очередь, этот показатель большей частью сформирован фондом заработной платы работников, проживающих в других регионах и работающих на территории района вахтовым методом. Таким образом, реальное соотношение среднедушевых денежных доходов </w:t>
      </w:r>
      <w:r w:rsidRPr="00BD4779">
        <w:rPr>
          <w:rFonts w:ascii="Times New Roman" w:hAnsi="Times New Roman" w:cs="Times New Roman"/>
          <w:b/>
          <w:bCs/>
          <w:sz w:val="28"/>
          <w:szCs w:val="28"/>
        </w:rPr>
        <w:t xml:space="preserve">постоянного </w:t>
      </w:r>
      <w:r w:rsidRPr="00BD4779">
        <w:rPr>
          <w:rFonts w:ascii="Times New Roman" w:hAnsi="Times New Roman" w:cs="Times New Roman"/>
          <w:sz w:val="28"/>
          <w:szCs w:val="28"/>
        </w:rPr>
        <w:t xml:space="preserve">населения района и прожиточного минимума, установленного по территории, значительно ниже.   </w:t>
      </w:r>
    </w:p>
    <w:p w:rsidR="00BD4779" w:rsidRPr="00BD4779" w:rsidRDefault="00BD4779" w:rsidP="00BD4779">
      <w:pPr>
        <w:numPr>
          <w:ilvl w:val="12"/>
          <w:numId w:val="0"/>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Среднемесячная заработная плата по всем отраслям в 2015 году составила – 61 901,4 руб., в том числе в разрезе значимых отраслей: </w:t>
      </w:r>
    </w:p>
    <w:p w:rsidR="00BD4779" w:rsidRPr="00BD4779" w:rsidRDefault="00BD4779"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добыча полезных ископаемых – 111 198,4 руб.; </w:t>
      </w:r>
    </w:p>
    <w:p w:rsidR="00BD4779" w:rsidRPr="00BD4779" w:rsidRDefault="00BD4779"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обрабатывающие производства – 70 526,9 руб.;</w:t>
      </w:r>
    </w:p>
    <w:p w:rsidR="00BD4779" w:rsidRPr="00BD4779" w:rsidRDefault="00BD4779"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транспорт и связь – 65 660,6 руб.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бюджетной сфере среднемесячная заработная плата составила 34 968,5 руб.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Ожидаемый размер среднемесячной заработной платы в 2016 году составляет 58 491,9 руб., в 2017 году – 59 963,0 руб., в 2018 году – 61 471,1 руб., в 2019 году – 63 017,0 руб.</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Средний размер пенсии </w:t>
      </w:r>
      <w:proofErr w:type="gramStart"/>
      <w:r w:rsidRPr="00BD4779">
        <w:rPr>
          <w:rFonts w:ascii="Times New Roman" w:hAnsi="Times New Roman" w:cs="Times New Roman"/>
          <w:sz w:val="28"/>
          <w:szCs w:val="28"/>
        </w:rPr>
        <w:t>на конец</w:t>
      </w:r>
      <w:proofErr w:type="gramEnd"/>
      <w:r w:rsidRPr="00BD4779">
        <w:rPr>
          <w:rFonts w:ascii="Times New Roman" w:hAnsi="Times New Roman" w:cs="Times New Roman"/>
          <w:sz w:val="28"/>
          <w:szCs w:val="28"/>
        </w:rPr>
        <w:t xml:space="preserve"> 2015 года составил 17 тыс. руб., что превысило уровень предыдущего года на 11,6%.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Рынок труда</w:t>
      </w:r>
    </w:p>
    <w:p w:rsidR="00BD4779" w:rsidRPr="00BD4779" w:rsidRDefault="00BD4779" w:rsidP="00BD4779">
      <w:pPr>
        <w:pStyle w:val="a3"/>
        <w:autoSpaceDE w:val="0"/>
        <w:autoSpaceDN w:val="0"/>
        <w:adjustRightInd w:val="0"/>
        <w:spacing w:after="0"/>
        <w:ind w:left="1069"/>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На основании информационных данных Территориального органа Федеральной службы Государственной статистики по Красноярскому краю, на 1 января 2016 года на территории района зарегистрировано 281 организация различных форм собственности. Численность занятых в экономике в 2015 году составила 14,8 тыс. чел., что на 0,4 тыс. человек меньше, чем в 2014 году. Из них было занято в организациях муниципальной формы собственности – 3,8 тыс. чел., в частном секторе (с учетом физических лиц, зарегистрированных без права образования юридического лица) – 10,2 тыс. чел.</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Среднесписочная численность работников организаций в 2015 году составила 14 404 чел. Снижение показателя в отчетном году по отношению к аналогичному показателю предыдущего года составило 2,5% или 366 чел.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Структура численности работников всех организаций в 2015 году сложилась следующим образом (по наиболее значимым отраслям): </w:t>
      </w:r>
    </w:p>
    <w:p w:rsidR="00BD4779" w:rsidRPr="00BD4779" w:rsidRDefault="00BD4779" w:rsidP="00533037">
      <w:pPr>
        <w:numPr>
          <w:ilvl w:val="0"/>
          <w:numId w:val="2"/>
        </w:numPr>
        <w:autoSpaceDE w:val="0"/>
        <w:autoSpaceDN w:val="0"/>
        <w:adjustRightInd w:val="0"/>
        <w:spacing w:after="0"/>
        <w:ind w:left="709"/>
        <w:jc w:val="both"/>
        <w:rPr>
          <w:rFonts w:ascii="Times New Roman" w:hAnsi="Times New Roman" w:cs="Times New Roman"/>
          <w:sz w:val="28"/>
          <w:szCs w:val="28"/>
        </w:rPr>
      </w:pPr>
      <w:r w:rsidRPr="00BD4779">
        <w:rPr>
          <w:rFonts w:ascii="Times New Roman" w:hAnsi="Times New Roman" w:cs="Times New Roman"/>
          <w:sz w:val="28"/>
          <w:szCs w:val="28"/>
        </w:rPr>
        <w:t>промышленность – 35,5% (5,1 тыс. чел), в том числе:</w:t>
      </w:r>
    </w:p>
    <w:p w:rsidR="00BD4779" w:rsidRPr="00BD4779" w:rsidRDefault="00BD4779" w:rsidP="00533037">
      <w:pPr>
        <w:numPr>
          <w:ilvl w:val="12"/>
          <w:numId w:val="0"/>
        </w:numPr>
        <w:autoSpaceDE w:val="0"/>
        <w:autoSpaceDN w:val="0"/>
        <w:adjustRightInd w:val="0"/>
        <w:spacing w:after="0"/>
        <w:ind w:left="709" w:firstLine="284"/>
        <w:jc w:val="both"/>
        <w:rPr>
          <w:rFonts w:ascii="Times New Roman" w:hAnsi="Times New Roman" w:cs="Times New Roman"/>
          <w:sz w:val="28"/>
          <w:szCs w:val="28"/>
        </w:rPr>
      </w:pPr>
      <w:r w:rsidRPr="00BD4779">
        <w:rPr>
          <w:rFonts w:ascii="Times New Roman" w:hAnsi="Times New Roman" w:cs="Times New Roman"/>
          <w:sz w:val="28"/>
          <w:szCs w:val="28"/>
        </w:rPr>
        <w:t xml:space="preserve">добыча полезных ископаемых – 21,5 % (3,1 тыс. чел.), </w:t>
      </w:r>
    </w:p>
    <w:p w:rsidR="00BD4779" w:rsidRPr="00BD4779" w:rsidRDefault="00BD4779" w:rsidP="00A0398C">
      <w:pPr>
        <w:numPr>
          <w:ilvl w:val="12"/>
          <w:numId w:val="0"/>
        </w:numPr>
        <w:autoSpaceDE w:val="0"/>
        <w:autoSpaceDN w:val="0"/>
        <w:adjustRightInd w:val="0"/>
        <w:spacing w:after="0"/>
        <w:ind w:left="709"/>
        <w:jc w:val="both"/>
        <w:rPr>
          <w:rFonts w:ascii="Times New Roman" w:hAnsi="Times New Roman" w:cs="Times New Roman"/>
          <w:sz w:val="28"/>
          <w:szCs w:val="28"/>
        </w:rPr>
      </w:pPr>
      <w:r w:rsidRPr="00BD4779">
        <w:rPr>
          <w:rFonts w:ascii="Times New Roman" w:hAnsi="Times New Roman" w:cs="Times New Roman"/>
          <w:sz w:val="28"/>
          <w:szCs w:val="28"/>
        </w:rPr>
        <w:t>производство и распределение электроэнергии, газа и воды – 11,8% (1,7 тыс. чел.);</w:t>
      </w:r>
    </w:p>
    <w:p w:rsidR="00BD4779" w:rsidRPr="00BD4779" w:rsidRDefault="00BD4779" w:rsidP="00A0398C">
      <w:pPr>
        <w:numPr>
          <w:ilvl w:val="0"/>
          <w:numId w:val="2"/>
        </w:numPr>
        <w:autoSpaceDE w:val="0"/>
        <w:autoSpaceDN w:val="0"/>
        <w:adjustRightInd w:val="0"/>
        <w:spacing w:after="0"/>
        <w:ind w:left="709"/>
        <w:jc w:val="both"/>
        <w:rPr>
          <w:rFonts w:ascii="Times New Roman" w:hAnsi="Times New Roman" w:cs="Times New Roman"/>
          <w:sz w:val="28"/>
          <w:szCs w:val="28"/>
        </w:rPr>
      </w:pPr>
      <w:r w:rsidRPr="00BD4779">
        <w:rPr>
          <w:rFonts w:ascii="Times New Roman" w:hAnsi="Times New Roman" w:cs="Times New Roman"/>
          <w:sz w:val="28"/>
          <w:szCs w:val="28"/>
        </w:rPr>
        <w:t>операции с недвижимым имуществом, аренда и предоставление услуг – 14,8% (2,1 тыс. чел);</w:t>
      </w:r>
    </w:p>
    <w:p w:rsidR="00BD4779" w:rsidRPr="00BD4779" w:rsidRDefault="00BD4779" w:rsidP="00A0398C">
      <w:pPr>
        <w:numPr>
          <w:ilvl w:val="0"/>
          <w:numId w:val="2"/>
        </w:numPr>
        <w:autoSpaceDE w:val="0"/>
        <w:autoSpaceDN w:val="0"/>
        <w:adjustRightInd w:val="0"/>
        <w:spacing w:after="0"/>
        <w:ind w:left="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бюджетная сфера (образование, здравоохранение, культура, социальная защита) – 14,3% (2,1 тыс. чел.);</w:t>
      </w:r>
      <w:proofErr w:type="gramEnd"/>
    </w:p>
    <w:p w:rsidR="00BD4779" w:rsidRPr="00BD4779" w:rsidRDefault="00BD4779" w:rsidP="00A0398C">
      <w:pPr>
        <w:numPr>
          <w:ilvl w:val="0"/>
          <w:numId w:val="2"/>
        </w:numPr>
        <w:autoSpaceDE w:val="0"/>
        <w:autoSpaceDN w:val="0"/>
        <w:adjustRightInd w:val="0"/>
        <w:spacing w:after="0"/>
        <w:ind w:left="709"/>
        <w:jc w:val="both"/>
        <w:rPr>
          <w:rFonts w:ascii="Times New Roman" w:hAnsi="Times New Roman" w:cs="Times New Roman"/>
          <w:sz w:val="28"/>
          <w:szCs w:val="28"/>
        </w:rPr>
      </w:pPr>
      <w:r w:rsidRPr="00BD4779">
        <w:rPr>
          <w:rFonts w:ascii="Times New Roman" w:hAnsi="Times New Roman" w:cs="Times New Roman"/>
          <w:sz w:val="28"/>
          <w:szCs w:val="28"/>
        </w:rPr>
        <w:t>строительство – 11,4% (1,6 тыс. чел.);</w:t>
      </w:r>
    </w:p>
    <w:p w:rsidR="00BD4779" w:rsidRPr="00BD4779" w:rsidRDefault="00BD4779" w:rsidP="00A0398C">
      <w:pPr>
        <w:numPr>
          <w:ilvl w:val="0"/>
          <w:numId w:val="2"/>
        </w:numPr>
        <w:autoSpaceDE w:val="0"/>
        <w:autoSpaceDN w:val="0"/>
        <w:adjustRightInd w:val="0"/>
        <w:spacing w:after="0"/>
        <w:ind w:left="709"/>
        <w:jc w:val="both"/>
        <w:rPr>
          <w:rFonts w:ascii="Times New Roman" w:hAnsi="Times New Roman" w:cs="Times New Roman"/>
          <w:sz w:val="28"/>
          <w:szCs w:val="28"/>
        </w:rPr>
      </w:pPr>
      <w:r w:rsidRPr="00BD4779">
        <w:rPr>
          <w:rFonts w:ascii="Times New Roman" w:hAnsi="Times New Roman" w:cs="Times New Roman"/>
          <w:sz w:val="28"/>
          <w:szCs w:val="28"/>
        </w:rPr>
        <w:t>транспорт и связь – 9,0% (1,3 тыс. чел.).</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отчетном году </w:t>
      </w:r>
      <w:r w:rsidRPr="00BD4779">
        <w:rPr>
          <w:rFonts w:ascii="Times New Roman" w:hAnsi="Times New Roman" w:cs="Times New Roman"/>
          <w:b/>
          <w:bCs/>
          <w:sz w:val="28"/>
          <w:szCs w:val="28"/>
        </w:rPr>
        <w:t>показатели занятости населения</w:t>
      </w:r>
      <w:r w:rsidRPr="00BD4779">
        <w:rPr>
          <w:rFonts w:ascii="Times New Roman" w:hAnsi="Times New Roman" w:cs="Times New Roman"/>
          <w:sz w:val="28"/>
          <w:szCs w:val="28"/>
        </w:rPr>
        <w:t xml:space="preserve"> сложились следующим образом.</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Уровень зарегистрированной безработицы увеличился на 0,4% и составил 2,5%. В прогнозируемом периоде ожидается рост показателя, и ожидаемый в 2019 году уровень зарегистрированной безработицы составит 2,7%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Коэффициент напряженности на рынке труда (отношение численности незанятых граждан к количеству заявленных вакансий, в среднемесячном исчислении) в 2015 году составил 1,5 ед.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На территории района в вопросе трудоустройства граждан наблюдаются общие для данной сферы сложности. </w:t>
      </w:r>
      <w:proofErr w:type="gramStart"/>
      <w:r w:rsidRPr="00BD4779">
        <w:rPr>
          <w:rFonts w:ascii="Times New Roman" w:hAnsi="Times New Roman" w:cs="Times New Roman"/>
          <w:sz w:val="28"/>
          <w:szCs w:val="28"/>
        </w:rPr>
        <w:t>Также, как</w:t>
      </w:r>
      <w:proofErr w:type="gramEnd"/>
      <w:r w:rsidRPr="00BD4779">
        <w:rPr>
          <w:rFonts w:ascii="Times New Roman" w:hAnsi="Times New Roman" w:cs="Times New Roman"/>
          <w:sz w:val="28"/>
          <w:szCs w:val="28"/>
        </w:rPr>
        <w:t xml:space="preserve"> и в других территориях, наиболее «проблемными» (в разрешении вопроса трудоустройства) группами населения на рынке труда являются: </w:t>
      </w:r>
    </w:p>
    <w:p w:rsidR="00BD4779" w:rsidRPr="00BD4779" w:rsidRDefault="00BD4779" w:rsidP="001264DC">
      <w:pPr>
        <w:tabs>
          <w:tab w:val="left" w:pos="1134"/>
        </w:tabs>
        <w:autoSpaceDE w:val="0"/>
        <w:autoSpaceDN w:val="0"/>
        <w:adjustRightInd w:val="0"/>
        <w:spacing w:after="0"/>
        <w:ind w:firstLine="851"/>
        <w:jc w:val="both"/>
        <w:rPr>
          <w:rFonts w:ascii="Times New Roman" w:hAnsi="Times New Roman" w:cs="Times New Roman"/>
          <w:sz w:val="28"/>
          <w:szCs w:val="28"/>
        </w:rPr>
      </w:pPr>
      <w:r w:rsidRPr="00BD4779">
        <w:rPr>
          <w:rFonts w:ascii="Times New Roman" w:hAnsi="Times New Roman" w:cs="Times New Roman"/>
          <w:sz w:val="28"/>
          <w:szCs w:val="28"/>
        </w:rPr>
        <w:t></w:t>
      </w:r>
      <w:r w:rsidRPr="00BD4779">
        <w:rPr>
          <w:rFonts w:ascii="Times New Roman" w:hAnsi="Times New Roman" w:cs="Times New Roman"/>
          <w:sz w:val="28"/>
          <w:szCs w:val="28"/>
        </w:rPr>
        <w:tab/>
        <w:t xml:space="preserve">молодежь, не имеющая опыта работы (в том числе выпускники учреждений профессионального образования); </w:t>
      </w:r>
    </w:p>
    <w:p w:rsidR="00BD4779" w:rsidRPr="00BD4779" w:rsidRDefault="00BD4779" w:rsidP="001264DC">
      <w:pPr>
        <w:tabs>
          <w:tab w:val="left" w:pos="1134"/>
        </w:tabs>
        <w:autoSpaceDE w:val="0"/>
        <w:autoSpaceDN w:val="0"/>
        <w:adjustRightInd w:val="0"/>
        <w:spacing w:after="0"/>
        <w:ind w:firstLine="851"/>
        <w:jc w:val="both"/>
        <w:rPr>
          <w:rFonts w:ascii="Times New Roman" w:hAnsi="Times New Roman" w:cs="Times New Roman"/>
          <w:sz w:val="28"/>
          <w:szCs w:val="28"/>
        </w:rPr>
      </w:pPr>
      <w:r w:rsidRPr="00BD4779">
        <w:rPr>
          <w:rFonts w:ascii="Times New Roman" w:hAnsi="Times New Roman" w:cs="Times New Roman"/>
          <w:sz w:val="28"/>
          <w:szCs w:val="28"/>
        </w:rPr>
        <w:t></w:t>
      </w:r>
      <w:r w:rsidRPr="00BD4779">
        <w:rPr>
          <w:rFonts w:ascii="Times New Roman" w:hAnsi="Times New Roman" w:cs="Times New Roman"/>
          <w:sz w:val="28"/>
          <w:szCs w:val="28"/>
        </w:rPr>
        <w:tab/>
        <w:t xml:space="preserve">лица, не имеющие профессионального образования; </w:t>
      </w:r>
    </w:p>
    <w:p w:rsidR="00BD4779" w:rsidRPr="00BD4779" w:rsidRDefault="00BD4779" w:rsidP="001264DC">
      <w:pPr>
        <w:tabs>
          <w:tab w:val="left" w:pos="1134"/>
        </w:tabs>
        <w:autoSpaceDE w:val="0"/>
        <w:autoSpaceDN w:val="0"/>
        <w:adjustRightInd w:val="0"/>
        <w:spacing w:after="0"/>
        <w:ind w:firstLine="851"/>
        <w:jc w:val="both"/>
        <w:rPr>
          <w:rFonts w:ascii="Times New Roman" w:hAnsi="Times New Roman" w:cs="Times New Roman"/>
          <w:sz w:val="28"/>
          <w:szCs w:val="28"/>
        </w:rPr>
      </w:pPr>
      <w:r w:rsidRPr="00BD4779">
        <w:rPr>
          <w:rFonts w:ascii="Times New Roman" w:hAnsi="Times New Roman" w:cs="Times New Roman"/>
          <w:sz w:val="28"/>
          <w:szCs w:val="28"/>
        </w:rPr>
        <w:t></w:t>
      </w:r>
      <w:r w:rsidRPr="00BD4779">
        <w:rPr>
          <w:rFonts w:ascii="Times New Roman" w:hAnsi="Times New Roman" w:cs="Times New Roman"/>
          <w:sz w:val="28"/>
          <w:szCs w:val="28"/>
        </w:rPr>
        <w:tab/>
        <w:t xml:space="preserve">длительно неработающие граждане; </w:t>
      </w:r>
    </w:p>
    <w:p w:rsidR="00BD4779" w:rsidRPr="00BD4779" w:rsidRDefault="00BD4779" w:rsidP="001264DC">
      <w:pPr>
        <w:tabs>
          <w:tab w:val="left" w:pos="1134"/>
        </w:tabs>
        <w:autoSpaceDE w:val="0"/>
        <w:autoSpaceDN w:val="0"/>
        <w:adjustRightInd w:val="0"/>
        <w:spacing w:after="0"/>
        <w:ind w:firstLine="851"/>
        <w:jc w:val="both"/>
        <w:rPr>
          <w:rFonts w:ascii="Times New Roman" w:hAnsi="Times New Roman" w:cs="Times New Roman"/>
          <w:sz w:val="28"/>
          <w:szCs w:val="28"/>
        </w:rPr>
      </w:pPr>
      <w:r w:rsidRPr="00BD4779">
        <w:rPr>
          <w:rFonts w:ascii="Times New Roman" w:hAnsi="Times New Roman" w:cs="Times New Roman"/>
          <w:sz w:val="28"/>
          <w:szCs w:val="28"/>
        </w:rPr>
        <w:t></w:t>
      </w:r>
      <w:r w:rsidRPr="00BD4779">
        <w:rPr>
          <w:rFonts w:ascii="Times New Roman" w:hAnsi="Times New Roman" w:cs="Times New Roman"/>
          <w:sz w:val="28"/>
          <w:szCs w:val="28"/>
        </w:rPr>
        <w:tab/>
        <w:t xml:space="preserve">лица, освобожденные из мест лишения свободы; </w:t>
      </w:r>
    </w:p>
    <w:p w:rsidR="00BD4779" w:rsidRPr="00BD4779" w:rsidRDefault="00BD4779" w:rsidP="001264DC">
      <w:pPr>
        <w:tabs>
          <w:tab w:val="left" w:pos="1134"/>
        </w:tabs>
        <w:autoSpaceDE w:val="0"/>
        <w:autoSpaceDN w:val="0"/>
        <w:adjustRightInd w:val="0"/>
        <w:spacing w:after="0"/>
        <w:ind w:firstLine="851"/>
        <w:jc w:val="both"/>
        <w:rPr>
          <w:rFonts w:ascii="Times New Roman" w:hAnsi="Times New Roman" w:cs="Times New Roman"/>
          <w:sz w:val="28"/>
          <w:szCs w:val="28"/>
        </w:rPr>
      </w:pPr>
      <w:r w:rsidRPr="00BD4779">
        <w:rPr>
          <w:rFonts w:ascii="Times New Roman" w:hAnsi="Times New Roman" w:cs="Times New Roman"/>
          <w:sz w:val="28"/>
          <w:szCs w:val="28"/>
        </w:rPr>
        <w:t></w:t>
      </w:r>
      <w:r w:rsidRPr="00BD4779">
        <w:rPr>
          <w:rFonts w:ascii="Times New Roman" w:hAnsi="Times New Roman" w:cs="Times New Roman"/>
          <w:sz w:val="28"/>
          <w:szCs w:val="28"/>
        </w:rPr>
        <w:tab/>
        <w:t xml:space="preserve">граждане </w:t>
      </w:r>
      <w:proofErr w:type="spellStart"/>
      <w:r w:rsidRPr="00BD4779">
        <w:rPr>
          <w:rFonts w:ascii="Times New Roman" w:hAnsi="Times New Roman" w:cs="Times New Roman"/>
          <w:sz w:val="28"/>
          <w:szCs w:val="28"/>
        </w:rPr>
        <w:t>предпенсионного</w:t>
      </w:r>
      <w:proofErr w:type="spellEnd"/>
      <w:r w:rsidRPr="00BD4779">
        <w:rPr>
          <w:rFonts w:ascii="Times New Roman" w:hAnsi="Times New Roman" w:cs="Times New Roman"/>
          <w:sz w:val="28"/>
          <w:szCs w:val="28"/>
        </w:rPr>
        <w:t xml:space="preserve"> возраста; </w:t>
      </w:r>
    </w:p>
    <w:p w:rsidR="00BD4779" w:rsidRPr="00BD4779" w:rsidRDefault="00BD4779" w:rsidP="001264DC">
      <w:pPr>
        <w:tabs>
          <w:tab w:val="left" w:pos="1134"/>
        </w:tabs>
        <w:autoSpaceDE w:val="0"/>
        <w:autoSpaceDN w:val="0"/>
        <w:adjustRightInd w:val="0"/>
        <w:spacing w:after="0"/>
        <w:ind w:firstLine="851"/>
        <w:jc w:val="both"/>
        <w:rPr>
          <w:rFonts w:ascii="Times New Roman" w:hAnsi="Times New Roman" w:cs="Times New Roman"/>
          <w:sz w:val="28"/>
          <w:szCs w:val="28"/>
        </w:rPr>
      </w:pPr>
      <w:r w:rsidRPr="00BD4779">
        <w:rPr>
          <w:rFonts w:ascii="Times New Roman" w:hAnsi="Times New Roman" w:cs="Times New Roman"/>
          <w:sz w:val="28"/>
          <w:szCs w:val="28"/>
        </w:rPr>
        <w:t></w:t>
      </w:r>
      <w:r w:rsidRPr="00BD4779">
        <w:rPr>
          <w:rFonts w:ascii="Times New Roman" w:hAnsi="Times New Roman" w:cs="Times New Roman"/>
          <w:sz w:val="28"/>
          <w:szCs w:val="28"/>
        </w:rPr>
        <w:tab/>
        <w:t xml:space="preserve">коренные малочисленные народы Севера.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связи с освоением инвестиционных проектов по разработке природных месторождений планируется привлечение значительного количества кадров, прошедших обучение, по востребованным в развивающейся сфере профессиям. Также, ожидается, что привлечение работников по указанным направлениям повлечет в прогнозируемом периоде снижение численности безработных, состоящих на учете.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Государственными учреждениями «Центр занятости населения Туруханского района» и «Центр занятости населения города </w:t>
      </w:r>
      <w:proofErr w:type="spellStart"/>
      <w:r w:rsidRPr="00BD4779">
        <w:rPr>
          <w:rFonts w:ascii="Times New Roman" w:hAnsi="Times New Roman" w:cs="Times New Roman"/>
          <w:sz w:val="28"/>
          <w:szCs w:val="28"/>
        </w:rPr>
        <w:t>Игарки</w:t>
      </w:r>
      <w:proofErr w:type="spellEnd"/>
      <w:r w:rsidRPr="00BD4779">
        <w:rPr>
          <w:rFonts w:ascii="Times New Roman" w:hAnsi="Times New Roman" w:cs="Times New Roman"/>
          <w:sz w:val="28"/>
          <w:szCs w:val="28"/>
        </w:rPr>
        <w:t xml:space="preserve">» в 2015 году продолжили реализацию мер, направленных на снижение напряженности на рынке труда. С этой же целью на территории МО Туруханский район было реализовано мероприятие «Организация общественных работ и временной занятости граждан, испытывающих трудности в поиске работы» подпрограммы «Оказание содействия занятости населения» муниципальной программы «Обеспечение комфортной среды проживания». В ходе реализации данного мероприятия в 2015 году трудоустроено 143 человека на временные общественные работы.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Демографическая ситуация</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 xml:space="preserve">Среднегодовая численность постоянного населения по состоянию в 2015 году составила 16,7 тыс. чел., в том числе городского – 5,0 тыс. чел., сельского – 11,7 тыс. чел. </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FF0000"/>
          <w:sz w:val="28"/>
          <w:szCs w:val="28"/>
        </w:rPr>
      </w:pPr>
      <w:r w:rsidRPr="00BD4779">
        <w:rPr>
          <w:rFonts w:ascii="Times New Roman" w:hAnsi="Times New Roman" w:cs="Times New Roman"/>
          <w:sz w:val="28"/>
          <w:szCs w:val="28"/>
        </w:rPr>
        <w:t>Численность постоянного населения по состоянию на 01.01.2016 составила</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16,6 тыс. человек,</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в том числе городского – 5,0 тыс. чел., сельского – 11,6 тыс. чел.</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xml:space="preserve">В течение 2015 года численность населения уменьшилась на 284 чел. или на 1,7%.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color w:val="000000"/>
          <w:sz w:val="28"/>
          <w:szCs w:val="28"/>
        </w:rPr>
        <w:t xml:space="preserve">Снижение </w:t>
      </w:r>
      <w:r w:rsidRPr="00BD4779">
        <w:rPr>
          <w:rFonts w:ascii="Times New Roman" w:hAnsi="Times New Roman" w:cs="Times New Roman"/>
          <w:sz w:val="28"/>
          <w:szCs w:val="28"/>
        </w:rPr>
        <w:t xml:space="preserve">численности населения в отчетном периоде обусловлено миграционным оттоком населения. В 2015 году за пределы района выехали 1023 жителей. Один из факторов выезда связан с реализацией государственной политики, направленной на переселение граждан из районов Крайнего Севера в местности благоприятные для проживания в других районах края и регионах РФ. Так же идет отток населения за счет выпускников школ, выезжающих за пределы района с целью получения профессионального образования </w:t>
      </w:r>
      <w:proofErr w:type="gramStart"/>
      <w:r w:rsidRPr="00BD4779">
        <w:rPr>
          <w:rFonts w:ascii="Times New Roman" w:hAnsi="Times New Roman" w:cs="Times New Roman"/>
          <w:sz w:val="28"/>
          <w:szCs w:val="28"/>
        </w:rPr>
        <w:t>в</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высших</w:t>
      </w:r>
      <w:proofErr w:type="gramEnd"/>
      <w:r w:rsidRPr="00BD4779">
        <w:rPr>
          <w:rFonts w:ascii="Times New Roman" w:hAnsi="Times New Roman" w:cs="Times New Roman"/>
          <w:sz w:val="28"/>
          <w:szCs w:val="28"/>
        </w:rPr>
        <w:t xml:space="preserve"> и средних учебных заведений края.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Миграционное снижение по итогам отчетного года составило 281 человек, коэффициент миграционного снижения населения на 10000 человек населения – минус 168,2 чел.</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Количество родившихся в отчетном году составило 218 чел. (в предыдущем году данный показатель составлял 238 чел.), количество умерших за период составило 221 чел., (в предыдущем году данный показатель составлял 236 чел.). Естественный прирост в отчетном периоде составил минус 3 чел.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Численность населения в трудоспособном возрасте на начало 2015 года составила 9,9 тыс. чел. (59,0% от общей численности жителей); моложе трудоспособного – 3,8 тыс. чел. (22,4 % от общей численности населения); старше трудоспособного возраста – 3,1 тыс. чел. (18,6% от общей численности населения).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Прогнозируемая численность постоянного населения МО Туруханский район составляет (на начало года): в 2017 году – 16,3 тыс. чел., в 2018 году – 16,1 тыс. чел., в 2019 году – 15,8 тыс. чел.</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Снижение ожидаемой численности населения также обусловлено прогнозируемой миграцией населения. Ожидаемый уровень миграционного снижения в плановом периоде составляет: в 2016 году – 267 чел., в 2017 году – 253 чел., в 2018 году – 239 чел., в 2019 году – 225 чел.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Образование</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left="140" w:firstLine="569"/>
        <w:jc w:val="both"/>
        <w:rPr>
          <w:rFonts w:ascii="Times New Roman" w:hAnsi="Times New Roman" w:cs="Times New Roman"/>
          <w:sz w:val="28"/>
          <w:szCs w:val="28"/>
        </w:rPr>
      </w:pPr>
      <w:r w:rsidRPr="00BD4779">
        <w:rPr>
          <w:rFonts w:ascii="Times New Roman" w:hAnsi="Times New Roman" w:cs="Times New Roman"/>
          <w:sz w:val="28"/>
          <w:szCs w:val="28"/>
        </w:rPr>
        <w:t>Приоритетным направлением в муниципальном образовании Туруханский район в области образования является развитие и стабильное функционирование образовательных учреждений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Анализ эффективности мер по организации дошкольного и дополнительного образования детей, принимаемых органами местного самоуправления, показал следующие результаты: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1) удовлетворенность населения качеством дополнительного образования детей за 2015 год по отношению к 2014 году снизился и составил 74% от общего числа опрошенных;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2) не изменился уровень удовлетворенности населения качеством дошкольного образования детей по отношению к 2014 году, данный показатель по итогам 2015 года составил 96% от общего числа опрошенных.</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муниципальном образовании Туруханский район отсутствуют субъекты малого предпринимательства, оказывающие услуги по дошкольному и дополнительному образованию и получающие средства  из бюджета муниципального образования. Все учреждения, оказывающие услуги по дополнительному и дошкольному образованию детей, на территории Туруханского района, являются муниципальными. На сегодняшний день, данные учреждения имеют статус </w:t>
      </w:r>
      <w:proofErr w:type="gramStart"/>
      <w:r w:rsidRPr="00BD4779">
        <w:rPr>
          <w:rFonts w:ascii="Times New Roman" w:hAnsi="Times New Roman" w:cs="Times New Roman"/>
          <w:sz w:val="28"/>
          <w:szCs w:val="28"/>
        </w:rPr>
        <w:t>казенных</w:t>
      </w:r>
      <w:proofErr w:type="gram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Оценка эффективности деятельности органов местного самоуправления в сфере общего образования на протяжении трех последних лет остается неизменной и составляет 78 % от общего числа опрошенных.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Уровень качества обучения </w:t>
      </w:r>
      <w:proofErr w:type="gramStart"/>
      <w:r w:rsidRPr="00BD4779">
        <w:rPr>
          <w:rFonts w:ascii="Times New Roman" w:hAnsi="Times New Roman" w:cs="Times New Roman"/>
          <w:sz w:val="28"/>
          <w:szCs w:val="28"/>
        </w:rPr>
        <w:t>по</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программ</w:t>
      </w:r>
      <w:proofErr w:type="gramEnd"/>
      <w:r w:rsidRPr="00BD4779">
        <w:rPr>
          <w:rFonts w:ascii="Times New Roman" w:hAnsi="Times New Roman" w:cs="Times New Roman"/>
          <w:sz w:val="28"/>
          <w:szCs w:val="28"/>
        </w:rPr>
        <w:t xml:space="preserve"> среднего общего образования в сравнении с 2014/2015 учебным годом не изменился, о чем говорит показатель численности выпускников, сдавших ЕГЭ по русскому языку и математике (базовый), в общей численности выпускников, участвовавших в ЕГЭ по данным предметам.</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FF0000"/>
          <w:sz w:val="28"/>
          <w:szCs w:val="28"/>
        </w:rPr>
      </w:pPr>
      <w:r w:rsidRPr="00BD4779">
        <w:rPr>
          <w:rFonts w:ascii="Times New Roman" w:hAnsi="Times New Roman" w:cs="Times New Roman"/>
          <w:sz w:val="28"/>
          <w:szCs w:val="28"/>
        </w:rPr>
        <w:t>Одним из основных мероприятий развития системы образования является обновление материально-технической базы, исполнение требований надзорных органов. В 2015 году начато оснащение образовательных учреждений программно-аппаратным комплексом «Стрелец-Мониторинг», продолжилось оснащение системой видеонаблюдения.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 целью повышения качества образования в Туруханском районе проводятся конкурсы  профессионального мастерства.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летний период осуществляется организация летнего отдыха детей района. В 2016 году в летних оздоровительных лагерях, организованных на базе образовательных учреждений отдохнули 834 ребенка, путевки в загородные лагеря Красноярского края приобретены для 68 детей,  в лагеря, расположенные на побережье Черного моря – 93 детей.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На сегодняшний день, целью развития системы образования является не только повышение уровня образования подрастающего поколения, но и обеспечение условий для организации активного досуга, формирования гражданской, социально активной позиции, что положительно влияет на развитие не только уровня образования, но и района в целом.</w:t>
      </w:r>
    </w:p>
    <w:p w:rsidR="00BD4779" w:rsidRPr="00BD4779" w:rsidRDefault="00BD4779" w:rsidP="00BD4779">
      <w:pPr>
        <w:autoSpaceDE w:val="0"/>
        <w:autoSpaceDN w:val="0"/>
        <w:adjustRightInd w:val="0"/>
        <w:spacing w:after="0"/>
        <w:jc w:val="both"/>
        <w:rPr>
          <w:rFonts w:ascii="Times New Roman" w:hAnsi="Times New Roman" w:cs="Times New Roman"/>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Культура</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Целью социально-экономического развития Туруханского района в сфере культуры на 2012-2018 гг. является создание условий, обеспечивающих доступ населения района к высококачественным культурным услугам.</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Основными задачами социально-экономического развития являются: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формирование и реализация культурной политики на территории Туруханского района;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модернизация технического и технологического оснащения учреждений культуры;</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концентрация бюджетных средств на приоритетных направлениях развития культуры;</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сохранение культурного наследия Туруханского района;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создание наиболее благоприятных условий для реализации творческого потенциала, инициатив и запросов населения в сфере культуры;</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содействие развитию самодеятельного творчества и разнообразных форм культурной самодеятельности населения и его досуга - как традиционных, так и новаторских;</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сохранение и комплектование библиотечных и музейных фондов;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развитие эстетического и художественного образования детей;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сохранение объектов историко-культурного наследия Туруханского района;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поддержка самобытной культуры малочисленных народов Севера;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поддержка творческих и одаренных личностей и коллективов;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создание условий для развития </w:t>
      </w:r>
      <w:proofErr w:type="spellStart"/>
      <w:r w:rsidRPr="00BD4779">
        <w:rPr>
          <w:rFonts w:ascii="Times New Roman" w:hAnsi="Times New Roman" w:cs="Times New Roman"/>
          <w:sz w:val="28"/>
          <w:szCs w:val="28"/>
        </w:rPr>
        <w:t>конкурентоспобности</w:t>
      </w:r>
      <w:proofErr w:type="spellEnd"/>
      <w:r w:rsidRPr="00BD4779">
        <w:rPr>
          <w:rFonts w:ascii="Times New Roman" w:hAnsi="Times New Roman" w:cs="Times New Roman"/>
          <w:sz w:val="28"/>
          <w:szCs w:val="28"/>
        </w:rPr>
        <w:t xml:space="preserve"> молодежи и ее активного включения в социально-экономические отношения;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формирование здорового образа жизни, воспитание патриотизма, творческих способностей, идеологии успеха, нравственного, интеллектуального уровня подрастающего поколения.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Социально-экономический эффект от реализации данных мероприятий выражается в повышении социальной роли культуры в следствии: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создания условий, обеспечивающих доступ населения Туруханского района к высококачественным культурным услугам;</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создания благоприятных условий для творческой деятельности, освоения новых форм и направлений культурного обмена;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увеличения доступности и расширения предложения населению культурных благ и информации в сфере культуры;</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активизации </w:t>
      </w:r>
      <w:proofErr w:type="gramStart"/>
      <w:r w:rsidRPr="00BD4779">
        <w:rPr>
          <w:rFonts w:ascii="Times New Roman" w:hAnsi="Times New Roman" w:cs="Times New Roman"/>
          <w:sz w:val="28"/>
          <w:szCs w:val="28"/>
        </w:rPr>
        <w:t>экономических процессов</w:t>
      </w:r>
      <w:proofErr w:type="gramEnd"/>
      <w:r w:rsidRPr="00BD4779">
        <w:rPr>
          <w:rFonts w:ascii="Times New Roman" w:hAnsi="Times New Roman" w:cs="Times New Roman"/>
          <w:sz w:val="28"/>
          <w:szCs w:val="28"/>
        </w:rPr>
        <w:t xml:space="preserve"> развития культуры;</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обеспечения развития эстетического и художественного воспитания молодежи;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оптимизации расходования бюджетных средств, сосредоточения ресурсов на решении приоритетных задач в области культуры, модернизации ее материальной базы.</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Реализация направлений социально-экономического развития Туруханского района в сфере культуры на 01.01.2016 позволила добиться следующих результатов: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u w:val="single"/>
        </w:rPr>
      </w:pPr>
      <w:r w:rsidRPr="00BD4779">
        <w:rPr>
          <w:rFonts w:ascii="Times New Roman" w:hAnsi="Times New Roman" w:cs="Times New Roman"/>
          <w:sz w:val="28"/>
          <w:szCs w:val="28"/>
          <w:u w:val="single"/>
        </w:rPr>
        <w:t>Библиотечное обслуживание: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roofErr w:type="spellStart"/>
      <w:r w:rsidRPr="00BD4779">
        <w:rPr>
          <w:rFonts w:ascii="Times New Roman" w:hAnsi="Times New Roman" w:cs="Times New Roman"/>
          <w:sz w:val="28"/>
          <w:szCs w:val="28"/>
        </w:rPr>
        <w:t>книгообеспеченность</w:t>
      </w:r>
      <w:proofErr w:type="spellEnd"/>
      <w:r w:rsidRPr="00BD4779">
        <w:rPr>
          <w:rFonts w:ascii="Times New Roman" w:hAnsi="Times New Roman" w:cs="Times New Roman"/>
          <w:sz w:val="28"/>
          <w:szCs w:val="28"/>
        </w:rPr>
        <w:t xml:space="preserve"> – 22 000 экземпляров изданий на 1 000 человек населения;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комплектование библиотечных фондов – 345 экземпляров изданий на 1 000 человек населения;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посещаемость – 6 900 посещений на 1 000 человек населения в год;</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книговыдача – 19 134 экземпляров изданий на 1 000 человек в год;</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количество библиографических записей, внесенных в электронный каталог – 36,9 тыс. записей;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охват населения услугами общедоступных библиотек – 90,03 %.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u w:val="single"/>
        </w:rPr>
      </w:pPr>
      <w:r w:rsidRPr="00BD4779">
        <w:rPr>
          <w:rFonts w:ascii="Times New Roman" w:hAnsi="Times New Roman" w:cs="Times New Roman"/>
          <w:sz w:val="28"/>
          <w:szCs w:val="28"/>
          <w:u w:val="single"/>
        </w:rPr>
        <w:t>Учреждения культурно-досугового типа: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количество клубных формирований – 181 единица;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число участников клубных формирований – 2 500 человек;</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число культурно-досуговых мероприятий – 2 506 в год;</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посещаемость – 9015 посещения на 1 000 человек населения в год.</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u w:val="single"/>
        </w:rPr>
      </w:pPr>
      <w:r w:rsidRPr="00BD4779">
        <w:rPr>
          <w:rFonts w:ascii="Times New Roman" w:hAnsi="Times New Roman" w:cs="Times New Roman"/>
          <w:sz w:val="28"/>
          <w:szCs w:val="28"/>
          <w:u w:val="single"/>
        </w:rPr>
        <w:t>Музеи: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количество предметов основного фонда – 9 491 единиц;</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процент экспонируемых предметов основного фонда – 26,18 %;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количество предметов основного фонда внесенных в электронный каталог – 5 715 единиц;</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посещаемость – 515 посещений на 1 000 человек населения в год.</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u w:val="single"/>
        </w:rPr>
      </w:pPr>
      <w:r w:rsidRPr="00BD4779">
        <w:rPr>
          <w:rFonts w:ascii="Times New Roman" w:hAnsi="Times New Roman" w:cs="Times New Roman"/>
          <w:sz w:val="28"/>
          <w:szCs w:val="28"/>
          <w:u w:val="single"/>
        </w:rPr>
        <w:t>Учреждения дополнительного образования:</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численность учащихся в детских музыкальных школах и школах искусств – 313 человек;</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охват детского населения в возрасте от 7 до 15 лет включительно услугами учреждений дополнительного образования в области культуры – 15 %.</w:t>
      </w:r>
    </w:p>
    <w:p w:rsidR="00BD4779" w:rsidRPr="00BD4779" w:rsidRDefault="00BD4779" w:rsidP="00BD4779">
      <w:pPr>
        <w:autoSpaceDE w:val="0"/>
        <w:autoSpaceDN w:val="0"/>
        <w:adjustRightInd w:val="0"/>
        <w:spacing w:after="0"/>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Таким образом, в результате реализации мероприятий обеспечивается не только сохранение и восстановление основных культурных ценностей, но и создаются благоприятные условия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молодёжи.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Значимым результатом социально-экономического развития является существенный рост участия населения в культурной жизни Туруханского района и увеличение числа посетителей библиотек, музеев и культурно-досуговых учреждений.</w:t>
      </w:r>
    </w:p>
    <w:p w:rsidR="00BD4779" w:rsidRPr="00BD4779" w:rsidRDefault="00BD4779" w:rsidP="00BD4779">
      <w:pPr>
        <w:autoSpaceDE w:val="0"/>
        <w:autoSpaceDN w:val="0"/>
        <w:adjustRightInd w:val="0"/>
        <w:spacing w:after="0"/>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Физическая культура и спорт</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widowControl w:val="0"/>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Развитие физической культуры и спорта </w:t>
      </w:r>
      <w:proofErr w:type="gramStart"/>
      <w:r w:rsidRPr="00BD4779">
        <w:rPr>
          <w:rFonts w:ascii="Times New Roman" w:hAnsi="Times New Roman" w:cs="Times New Roman"/>
          <w:sz w:val="28"/>
          <w:szCs w:val="28"/>
        </w:rPr>
        <w:t>в</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Туруханском</w:t>
      </w:r>
      <w:proofErr w:type="gramEnd"/>
      <w:r w:rsidRPr="00BD4779">
        <w:rPr>
          <w:rFonts w:ascii="Times New Roman" w:hAnsi="Times New Roman" w:cs="Times New Roman"/>
          <w:sz w:val="28"/>
          <w:szCs w:val="28"/>
        </w:rPr>
        <w:t xml:space="preserve"> районе играет немаловажную роль в жизни жителей района, и является одним из главных средств для обеспечение эффективной социализации молодежи, и пропаганды здорового образа жизни, особенно среди молодежи.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Продолжится развитие </w:t>
      </w:r>
      <w:r w:rsidRPr="00BD4779">
        <w:rPr>
          <w:rFonts w:ascii="Times New Roman" w:hAnsi="Times New Roman" w:cs="Times New Roman"/>
          <w:b/>
          <w:bCs/>
          <w:sz w:val="28"/>
          <w:szCs w:val="28"/>
        </w:rPr>
        <w:t>физической культуры и спорта</w:t>
      </w:r>
      <w:r w:rsidRPr="00BD4779">
        <w:rPr>
          <w:rFonts w:ascii="Times New Roman" w:hAnsi="Times New Roman" w:cs="Times New Roman"/>
          <w:sz w:val="28"/>
          <w:szCs w:val="28"/>
        </w:rPr>
        <w:t xml:space="preserve"> среди широких слоев населения, укрепление материально-спортивной базы, совершенствование работы с физкультурными кадрами, внедрение новых форм физкультурно-оздоровительной и спортивной работы, формирование здорового образа жизни населения. В районе проводится реализация муниципальной целевой программы "Развитие физической культуры, спорта и молодежной политики в Туруханском районе ", которая направлена на привлечение всех возрастных категорий населения к систематическим занятиям физической культурой и спортом, преодоление алкоголизма, наркомании и </w:t>
      </w:r>
      <w:proofErr w:type="spellStart"/>
      <w:r w:rsidRPr="00BD4779">
        <w:rPr>
          <w:rFonts w:ascii="Times New Roman" w:hAnsi="Times New Roman" w:cs="Times New Roman"/>
          <w:sz w:val="28"/>
          <w:szCs w:val="28"/>
        </w:rPr>
        <w:t>табакокурения</w:t>
      </w:r>
      <w:proofErr w:type="spellEnd"/>
      <w:r w:rsidRPr="00BD4779">
        <w:rPr>
          <w:rFonts w:ascii="Times New Roman" w:hAnsi="Times New Roman" w:cs="Times New Roman"/>
          <w:sz w:val="28"/>
          <w:szCs w:val="28"/>
        </w:rPr>
        <w:t xml:space="preserve">, рост спортивного мастерства Туруханских спортсменов.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Уровень фактической обеспеченности учреждениями физической культуры и спорта спортивными залами, плоскостными спортивными сооружениями, плавательными бассейнами является недостаточным и требует проведения капитальных ремонтов и реконструкций установленных объектов.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динамике происходит увеличение численности населения, систематически занимающихся физической культурой и спортом (в 2012 году – 3420 чел., в 2013 году –3958 чел., в 2016 году ожидается, что спортом будет заниматься 4100 чел.). Для привлечения большого количества населения к занятиям физической культурой необходимо постоянно стремиться к расширению перечня услуг, оказываемых населению в области физической культуры и спорта для различных категорий граждан, а также создание и совершенствование материально-технического обеспечение отрасли.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перспективе развития отрасли в районе, прежде всего, связано с укреплением материально </w:t>
      </w:r>
      <w:proofErr w:type="gramStart"/>
      <w:r w:rsidRPr="00BD4779">
        <w:rPr>
          <w:rFonts w:ascii="Times New Roman" w:hAnsi="Times New Roman" w:cs="Times New Roman"/>
          <w:sz w:val="28"/>
          <w:szCs w:val="28"/>
        </w:rPr>
        <w:t>-с</w:t>
      </w:r>
      <w:proofErr w:type="gramEnd"/>
      <w:r w:rsidRPr="00BD4779">
        <w:rPr>
          <w:rFonts w:ascii="Times New Roman" w:hAnsi="Times New Roman" w:cs="Times New Roman"/>
          <w:sz w:val="28"/>
          <w:szCs w:val="28"/>
        </w:rPr>
        <w:t>портивной базы и повышения уровня подготовки спортсменов, строительством новых объектов спортивной направленности, что позволит увеличить показатель занятием физкультурой и спортом.</w:t>
      </w:r>
    </w:p>
    <w:p w:rsid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Социальная защита населения</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before="24" w:after="0"/>
        <w:ind w:left="140" w:right="38" w:firstLine="709"/>
        <w:jc w:val="both"/>
        <w:rPr>
          <w:rFonts w:ascii="Times New Roman" w:hAnsi="Times New Roman" w:cs="Times New Roman"/>
          <w:color w:val="000000"/>
          <w:sz w:val="28"/>
          <w:szCs w:val="28"/>
        </w:rPr>
      </w:pPr>
      <w:r w:rsidRPr="00BD4779">
        <w:rPr>
          <w:rFonts w:ascii="Times New Roman" w:hAnsi="Times New Roman" w:cs="Times New Roman"/>
          <w:sz w:val="28"/>
          <w:szCs w:val="28"/>
        </w:rPr>
        <w:t xml:space="preserve">Сфера социального обеспечения в Туруханском районе играет важную роль, поскольку значительная часть жителей имеет доходы ниже прожиточного уровня. В их числе пенсионеры по старости, инвалиды, многодетные и неполные семьи, коренное национальное малочисленное население. В трудной жизненной ситуации оказываются и люди, работающие на </w:t>
      </w:r>
      <w:r w:rsidRPr="00BD4779">
        <w:rPr>
          <w:rFonts w:ascii="Times New Roman" w:hAnsi="Times New Roman" w:cs="Times New Roman"/>
          <w:color w:val="000000"/>
          <w:sz w:val="28"/>
          <w:szCs w:val="28"/>
        </w:rPr>
        <w:t>низкооплачиваемой работе, безработные и дети, оказавшиеся без присмотра родителей, другие категории населения.</w:t>
      </w:r>
    </w:p>
    <w:p w:rsidR="00BD4779" w:rsidRPr="00BD4779" w:rsidRDefault="00BD4779" w:rsidP="00BD4779">
      <w:pPr>
        <w:autoSpaceDE w:val="0"/>
        <w:autoSpaceDN w:val="0"/>
        <w:adjustRightInd w:val="0"/>
        <w:spacing w:after="0"/>
        <w:ind w:left="140" w:right="48"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Система социального обслуживания населения района представлена Управлением социальной защиты населения Администрации Туруханского района, МБУ «Центр социального обслуживания населения администрации Туруханского района» и МКУ «Социальный приют для детей и подростков «Забота».</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 xml:space="preserve">В с. </w:t>
      </w:r>
      <w:proofErr w:type="gramStart"/>
      <w:r w:rsidRPr="00BD4779">
        <w:rPr>
          <w:rFonts w:ascii="Times New Roman" w:hAnsi="Times New Roman" w:cs="Times New Roman"/>
          <w:color w:val="000000"/>
          <w:sz w:val="28"/>
          <w:szCs w:val="28"/>
        </w:rPr>
        <w:t>Туруханске</w:t>
      </w:r>
      <w:proofErr w:type="gramEnd"/>
      <w:r w:rsidRPr="00BD4779">
        <w:rPr>
          <w:rFonts w:ascii="Times New Roman" w:hAnsi="Times New Roman" w:cs="Times New Roman"/>
          <w:color w:val="000000"/>
          <w:sz w:val="28"/>
          <w:szCs w:val="28"/>
        </w:rPr>
        <w:t xml:space="preserve"> имеется МБУ «Центр социального обслуживания населения администрации Туруханского района» с фактическим числом пользователей 2400 человек.</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В г. Игарка имеется муниципальное казенное учреждение, предоставляющее социальные услуги с обеспечением проживания: МКУ «Социальный приют для детей и подростков «Забота» (социально-реабилитационный центр для несовершеннолетних).</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proofErr w:type="gramStart"/>
      <w:r w:rsidRPr="00BD4779">
        <w:rPr>
          <w:rFonts w:ascii="Times New Roman" w:hAnsi="Times New Roman" w:cs="Times New Roman"/>
          <w:color w:val="000000"/>
          <w:sz w:val="28"/>
          <w:szCs w:val="28"/>
        </w:rPr>
        <w:t>Объем средств, направленных на предоставление социальной поддержки населения по оплате жилья и коммунальных услуг, в 2015 году составил 98,5 млн. руб., из них средств, направленных на предоставление субсидий гражданам в качестве помощи для оплаты жилья и коммунальных услуг с учетом их доходов – 45,4 млн. руб. Количество семей, получивших субсидии с учетом доходов на оплату жилья и коммунальных услуг в 2015</w:t>
      </w:r>
      <w:proofErr w:type="gramEnd"/>
      <w:r w:rsidRPr="00BD4779">
        <w:rPr>
          <w:rFonts w:ascii="Times New Roman" w:hAnsi="Times New Roman" w:cs="Times New Roman"/>
          <w:color w:val="000000"/>
          <w:sz w:val="28"/>
          <w:szCs w:val="28"/>
        </w:rPr>
        <w:t xml:space="preserve"> году составило 3,4 тыс. ед. Доля семей, получающих жилищные субсидии на оплату жилого помещения и коммунальных услуг, в 2015 году составила 69,4 % в общем количестве семей.</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 xml:space="preserve">Действия </w:t>
      </w:r>
      <w:proofErr w:type="gramStart"/>
      <w:r w:rsidRPr="00BD4779">
        <w:rPr>
          <w:rFonts w:ascii="Times New Roman" w:hAnsi="Times New Roman" w:cs="Times New Roman"/>
          <w:color w:val="000000"/>
          <w:sz w:val="28"/>
          <w:szCs w:val="28"/>
        </w:rPr>
        <w:t>управления социальной защиты населения администрации Туруханского района</w:t>
      </w:r>
      <w:proofErr w:type="gramEnd"/>
      <w:r w:rsidRPr="00BD4779">
        <w:rPr>
          <w:rFonts w:ascii="Times New Roman" w:hAnsi="Times New Roman" w:cs="Times New Roman"/>
          <w:color w:val="000000"/>
          <w:sz w:val="28"/>
          <w:szCs w:val="28"/>
        </w:rPr>
        <w:t xml:space="preserve"> постоянно направляются на повышение уровня и качества жизни социально незащищенных категорий населения и обеспечение доступности социальных услуг на территории.</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 xml:space="preserve">Численность </w:t>
      </w:r>
      <w:proofErr w:type="gramStart"/>
      <w:r w:rsidRPr="00BD4779">
        <w:rPr>
          <w:rFonts w:ascii="Times New Roman" w:hAnsi="Times New Roman" w:cs="Times New Roman"/>
          <w:color w:val="000000"/>
          <w:sz w:val="28"/>
          <w:szCs w:val="28"/>
        </w:rPr>
        <w:t>населения, состоящего на учете в Управлении социальной защиты населения в 2015 году составила</w:t>
      </w:r>
      <w:proofErr w:type="gramEnd"/>
      <w:r w:rsidRPr="00BD4779">
        <w:rPr>
          <w:rFonts w:ascii="Times New Roman" w:hAnsi="Times New Roman" w:cs="Times New Roman"/>
          <w:color w:val="000000"/>
          <w:sz w:val="28"/>
          <w:szCs w:val="28"/>
        </w:rPr>
        <w:t xml:space="preserve"> 13 178 человека.</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Через управление социальной защиты реализуются меры социальной поддержки, установленные федеральным, краевым законодательством, оказывается социальная поддержка гражданам, оказавшимся в трудной жизненной ситуации.</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Объем финансирования на выполнение мероприятий в сфере социальной защиты населения, включая реализацию мер социальной поддержки и оказание материальной помощи населению Туруханского района, в 2015 году составил 219,7 млн. руб.</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sz w:val="28"/>
          <w:szCs w:val="28"/>
        </w:rPr>
      </w:pPr>
      <w:r w:rsidRPr="00BD4779">
        <w:rPr>
          <w:rFonts w:ascii="Times New Roman" w:hAnsi="Times New Roman" w:cs="Times New Roman"/>
          <w:color w:val="000000"/>
          <w:sz w:val="28"/>
          <w:szCs w:val="28"/>
        </w:rPr>
        <w:t xml:space="preserve">Приоритетным направлением является нестационарная форма социального обслуживания, т.е. оказание социальных услуг на дому, как мало затратное, эффективное, позволяющее пожилым как можно дольше находиться в привычных условиях. Эти вопросами занимается МБУ «Центр социального обслуживания Туруханского района». Количество человек получивших социальные услуги в учреждениях нестационарной </w:t>
      </w:r>
      <w:r w:rsidRPr="00BD4779">
        <w:rPr>
          <w:rFonts w:ascii="Times New Roman" w:hAnsi="Times New Roman" w:cs="Times New Roman"/>
          <w:sz w:val="28"/>
          <w:szCs w:val="28"/>
        </w:rPr>
        <w:t>формы социального обслуживания в 2015 году составило 4915 из них граждан пожилого возраста и инвалидов -936 человека.</w:t>
      </w:r>
    </w:p>
    <w:p w:rsidR="00BD4779" w:rsidRPr="00BD4779" w:rsidRDefault="00BD4779" w:rsidP="00BD4779">
      <w:pPr>
        <w:autoSpaceDE w:val="0"/>
        <w:autoSpaceDN w:val="0"/>
        <w:adjustRightInd w:val="0"/>
        <w:spacing w:after="0"/>
        <w:ind w:left="140"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С целью доступности социальных услуг на дому центры социального обслуживания имеют своих работников (соцработники) в поселках района: </w:t>
      </w:r>
      <w:proofErr w:type="spellStart"/>
      <w:r w:rsidRPr="00BD4779">
        <w:rPr>
          <w:rFonts w:ascii="Times New Roman" w:hAnsi="Times New Roman" w:cs="Times New Roman"/>
          <w:sz w:val="28"/>
          <w:szCs w:val="28"/>
        </w:rPr>
        <w:t>с</w:t>
      </w:r>
      <w:proofErr w:type="gramStart"/>
      <w:r w:rsidRPr="00BD4779">
        <w:rPr>
          <w:rFonts w:ascii="Times New Roman" w:hAnsi="Times New Roman" w:cs="Times New Roman"/>
          <w:sz w:val="28"/>
          <w:szCs w:val="28"/>
        </w:rPr>
        <w:t>.Т</w:t>
      </w:r>
      <w:proofErr w:type="gramEnd"/>
      <w:r w:rsidRPr="00BD4779">
        <w:rPr>
          <w:rFonts w:ascii="Times New Roman" w:hAnsi="Times New Roman" w:cs="Times New Roman"/>
          <w:sz w:val="28"/>
          <w:szCs w:val="28"/>
        </w:rPr>
        <w:t>уруханск</w:t>
      </w:r>
      <w:proofErr w:type="spellEnd"/>
      <w:r w:rsidRPr="00BD4779">
        <w:rPr>
          <w:rFonts w:ascii="Times New Roman" w:hAnsi="Times New Roman" w:cs="Times New Roman"/>
          <w:sz w:val="28"/>
          <w:szCs w:val="28"/>
        </w:rPr>
        <w:t xml:space="preserve">, г. Игарка, п. Светлогорск, п. Курейка, </w:t>
      </w:r>
      <w:proofErr w:type="spellStart"/>
      <w:r w:rsidRPr="00BD4779">
        <w:rPr>
          <w:rFonts w:ascii="Times New Roman" w:hAnsi="Times New Roman" w:cs="Times New Roman"/>
          <w:sz w:val="28"/>
          <w:szCs w:val="28"/>
        </w:rPr>
        <w:t>п.Бор</w:t>
      </w:r>
      <w:proofErr w:type="spellEnd"/>
      <w:r w:rsidRPr="00BD4779">
        <w:rPr>
          <w:rFonts w:ascii="Times New Roman" w:hAnsi="Times New Roman" w:cs="Times New Roman"/>
          <w:sz w:val="28"/>
          <w:szCs w:val="28"/>
        </w:rPr>
        <w:t xml:space="preserve">, с. </w:t>
      </w:r>
      <w:proofErr w:type="spellStart"/>
      <w:r w:rsidRPr="00BD4779">
        <w:rPr>
          <w:rFonts w:ascii="Times New Roman" w:hAnsi="Times New Roman" w:cs="Times New Roman"/>
          <w:sz w:val="28"/>
          <w:szCs w:val="28"/>
        </w:rPr>
        <w:t>Ворогово</w:t>
      </w:r>
      <w:proofErr w:type="spellEnd"/>
      <w:r w:rsidRPr="00BD4779">
        <w:rPr>
          <w:rFonts w:ascii="Times New Roman" w:hAnsi="Times New Roman" w:cs="Times New Roman"/>
          <w:sz w:val="28"/>
          <w:szCs w:val="28"/>
        </w:rPr>
        <w:t xml:space="preserve">, с. </w:t>
      </w:r>
      <w:proofErr w:type="spellStart"/>
      <w:r w:rsidRPr="00BD4779">
        <w:rPr>
          <w:rFonts w:ascii="Times New Roman" w:hAnsi="Times New Roman" w:cs="Times New Roman"/>
          <w:sz w:val="28"/>
          <w:szCs w:val="28"/>
        </w:rPr>
        <w:t>Зотино</w:t>
      </w:r>
      <w:proofErr w:type="spellEnd"/>
      <w:r w:rsidRPr="00BD4779">
        <w:rPr>
          <w:rFonts w:ascii="Times New Roman" w:hAnsi="Times New Roman" w:cs="Times New Roman"/>
          <w:sz w:val="28"/>
          <w:szCs w:val="28"/>
        </w:rPr>
        <w:t xml:space="preserve">, с. </w:t>
      </w:r>
      <w:proofErr w:type="spellStart"/>
      <w:r w:rsidRPr="00BD4779">
        <w:rPr>
          <w:rFonts w:ascii="Times New Roman" w:hAnsi="Times New Roman" w:cs="Times New Roman"/>
          <w:sz w:val="28"/>
          <w:szCs w:val="28"/>
        </w:rPr>
        <w:t>Верхнеимбатск</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Жилищно-коммунальное хозяйство</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b/>
          <w:bCs/>
          <w:sz w:val="28"/>
          <w:szCs w:val="28"/>
          <w:u w:val="single"/>
        </w:rPr>
      </w:pPr>
      <w:proofErr w:type="gramStart"/>
      <w:r w:rsidRPr="00BD4779">
        <w:rPr>
          <w:rFonts w:ascii="Times New Roman" w:hAnsi="Times New Roman" w:cs="Times New Roman"/>
          <w:sz w:val="28"/>
          <w:szCs w:val="28"/>
        </w:rPr>
        <w:t xml:space="preserve">Жилищно-коммунальный комплекс района включает в себя жилищный фонд, объекты теплоснабжения, водоснабжения и водоотведения, коммунальную энергетику, благоустройство, оказание  бытового обслуживания (бани, прачечные, ритуальные услуги) и т.п. </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Общая площадь жилищного фонда в 2015 году составила 456,6 тыс.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xml:space="preserve">., что меньше уровня 2014 года на 4,5 тыс. кв. м.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Общая площадь жилищного фонда всех форм собственности, приходящаяся на 1 жителя в отчетном году составила 27,5 кв. м., что выше показателя предыдущего года на 0,1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В основном увеличение данного показателя обусловлено большой численностью выезжающего за пределы района населения.</w:t>
      </w:r>
    </w:p>
    <w:p w:rsidR="00BD4779" w:rsidRPr="00BD4779" w:rsidRDefault="00BD4779" w:rsidP="00BD4779">
      <w:pPr>
        <w:autoSpaceDE w:val="0"/>
        <w:autoSpaceDN w:val="0"/>
        <w:adjustRightInd w:val="0"/>
        <w:spacing w:after="0"/>
        <w:ind w:firstLine="709"/>
        <w:jc w:val="both"/>
        <w:rPr>
          <w:rFonts w:ascii="Times New Roman" w:hAnsi="Times New Roman" w:cs="Times New Roman"/>
          <w:b/>
          <w:bCs/>
          <w:sz w:val="28"/>
          <w:szCs w:val="28"/>
          <w:u w:val="single"/>
        </w:rPr>
      </w:pPr>
      <w:r w:rsidRPr="00BD4779">
        <w:rPr>
          <w:rFonts w:ascii="Times New Roman" w:hAnsi="Times New Roman" w:cs="Times New Roman"/>
          <w:sz w:val="28"/>
          <w:szCs w:val="28"/>
        </w:rPr>
        <w:t xml:space="preserve">Более 68 % (313,1 тыс. кв. м.) жилищного фонда находится в частной собственности; 27,8%  (127,1 тыс.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 в муниципальной, в государственной и иной собственности находится менее 3,6% (16,4 тыс. кв. м.) жилищного  фонда.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По уровню износа 138,5 тыс. </w:t>
      </w:r>
      <w:proofErr w:type="spellStart"/>
      <w:r w:rsidRPr="00BD4779">
        <w:rPr>
          <w:rFonts w:ascii="Times New Roman" w:hAnsi="Times New Roman" w:cs="Times New Roman"/>
          <w:sz w:val="28"/>
          <w:szCs w:val="28"/>
        </w:rPr>
        <w:t>кв.м</w:t>
      </w:r>
      <w:proofErr w:type="spellEnd"/>
      <w:r w:rsidRPr="00BD4779">
        <w:rPr>
          <w:rFonts w:ascii="Times New Roman" w:hAnsi="Times New Roman" w:cs="Times New Roman"/>
          <w:sz w:val="28"/>
          <w:szCs w:val="28"/>
        </w:rPr>
        <w:t>. (30,3 %) жилищного фонда имеет износ более 65%, от 31% до 65% износа имеет 194,1 тыс. кв. м. (42,5%) жилищного фонда, до 30% износа имеет 88,8 тыс. кв. м. (19,4%) жилищного фонда.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Пополнение жилищного фонда района происходит за счет индивидуального жилищного строительства. Все введенные в отчетном периоде в эксплуатацию индивидуальные жилые дома построены населением за свой счет и (или) с помощью кредитов.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Туруханский район является территорией Крайнего Севера, вопросы содержания и обслуживания жилищного фонда и объектов социальной инфраструктуры приобретают здесь особую актуальность.</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связи с этим, основными задачами администрации Туруханского района в сфере ЖКХ, которые необходимо решить в процессе дальнейшего  развития, являются: повышение надежности энергоснабжения (электроэнергией и теплом); повышение качества предоставляемых услуг; снижение текущих затрат при производстве и передаче тепловой и электрической энергии.</w:t>
      </w:r>
      <w:r w:rsidRPr="00BD4779">
        <w:rPr>
          <w:rFonts w:ascii="Times New Roman" w:hAnsi="Times New Roman" w:cs="Times New Roman"/>
          <w:color w:val="993366"/>
          <w:sz w:val="28"/>
          <w:szCs w:val="28"/>
        </w:rPr>
        <w:t xml:space="preserve"> </w:t>
      </w:r>
      <w:r w:rsidRPr="00BD4779">
        <w:rPr>
          <w:rFonts w:ascii="Times New Roman" w:hAnsi="Times New Roman" w:cs="Times New Roman"/>
          <w:sz w:val="28"/>
          <w:szCs w:val="28"/>
        </w:rPr>
        <w:t>Для решения этого подготовлена и утверждена долгосрочная целевая программа  «Реформирование и модернизация жилищно-коммунального хозяйства и повышение энергетической эффективности на территории Туруханского района» на период с 2014 до 2018 года.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период подготовки к осенне-зимнему периоду 2015-2016 </w:t>
      </w:r>
      <w:proofErr w:type="spellStart"/>
      <w:r w:rsidRPr="00BD4779">
        <w:rPr>
          <w:rFonts w:ascii="Times New Roman" w:hAnsi="Times New Roman" w:cs="Times New Roman"/>
          <w:sz w:val="28"/>
          <w:szCs w:val="28"/>
        </w:rPr>
        <w:t>г.г</w:t>
      </w:r>
      <w:proofErr w:type="spellEnd"/>
      <w:r w:rsidRPr="00BD4779">
        <w:rPr>
          <w:rFonts w:ascii="Times New Roman" w:hAnsi="Times New Roman" w:cs="Times New Roman"/>
          <w:sz w:val="28"/>
          <w:szCs w:val="28"/>
        </w:rPr>
        <w:t>. на территории района была проведена следующая работа: Подготовлено для работы в зимних условиях в 2015г:</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жилищный фонд 2673 ед., котельные 41 ед., тепловые сети 86,44 км, водопроводные сети 96,14 км, канализационные сети 20,45 км, электрические сети 293,75 км, трансформаторные подстанции 121 ед., дизельные электростанции 31 ед.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том числе  выполнено работ по капитальному ремонту, реконструкции, замене: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тепловые сети 3,55 км</w:t>
      </w:r>
      <w:proofErr w:type="gramStart"/>
      <w:r w:rsidRPr="00BD4779">
        <w:rPr>
          <w:rFonts w:ascii="Times New Roman" w:hAnsi="Times New Roman" w:cs="Times New Roman"/>
          <w:sz w:val="28"/>
          <w:szCs w:val="28"/>
        </w:rPr>
        <w:t xml:space="preserve">.;  </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водопроводные сети 3,143 км</w:t>
      </w:r>
      <w:proofErr w:type="gramStart"/>
      <w:r w:rsidRPr="00BD4779">
        <w:rPr>
          <w:rFonts w:ascii="Times New Roman" w:hAnsi="Times New Roman" w:cs="Times New Roman"/>
          <w:sz w:val="28"/>
          <w:szCs w:val="28"/>
        </w:rPr>
        <w:t>.;</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канализационные сети 0,1 км.</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В 2015 году объем отпуска электрической энергии автономными источниками на территории муниципального образования Туруханский район составила 97,43 млн. кВт</w:t>
      </w:r>
      <w:proofErr w:type="gramStart"/>
      <w:r w:rsidRPr="00BD4779">
        <w:rPr>
          <w:rFonts w:ascii="Times New Roman" w:hAnsi="Times New Roman" w:cs="Times New Roman"/>
          <w:sz w:val="28"/>
          <w:szCs w:val="28"/>
        </w:rPr>
        <w:t>.</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ч</w:t>
      </w:r>
      <w:proofErr w:type="gramEnd"/>
      <w:r w:rsidRPr="00BD4779">
        <w:rPr>
          <w:rFonts w:ascii="Times New Roman" w:hAnsi="Times New Roman" w:cs="Times New Roman"/>
          <w:sz w:val="28"/>
          <w:szCs w:val="28"/>
        </w:rPr>
        <w:t xml:space="preserve">, что ниже объема отпуска прошлого года на 4,8 млн. кВт. ч.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отпуска тепловой энергии в 2015 году составила 204,25 тыс. Гкал, что ниже уровня показателя прошлого года на 3,71 тыс. Гкал. Это связано с установкой счетчиков узла учета тепловой энергии и </w:t>
      </w:r>
      <w:proofErr w:type="spellStart"/>
      <w:r w:rsidRPr="00BD4779">
        <w:rPr>
          <w:rFonts w:ascii="Times New Roman" w:hAnsi="Times New Roman" w:cs="Times New Roman"/>
          <w:sz w:val="28"/>
          <w:szCs w:val="28"/>
        </w:rPr>
        <w:t>электрокотлов</w:t>
      </w:r>
      <w:proofErr w:type="spellEnd"/>
      <w:r w:rsidRPr="00BD4779">
        <w:rPr>
          <w:rFonts w:ascii="Times New Roman" w:hAnsi="Times New Roman" w:cs="Times New Roman"/>
          <w:sz w:val="28"/>
          <w:szCs w:val="28"/>
        </w:rPr>
        <w:t xml:space="preserve"> для выработки тепла.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отпуска холодной воды в 2015 году составил 1257,39 тыс. </w:t>
      </w:r>
      <w:proofErr w:type="spellStart"/>
      <w:r w:rsidRPr="00BD4779">
        <w:rPr>
          <w:rFonts w:ascii="Times New Roman" w:hAnsi="Times New Roman" w:cs="Times New Roman"/>
          <w:sz w:val="28"/>
          <w:szCs w:val="28"/>
        </w:rPr>
        <w:t>куб.м</w:t>
      </w:r>
      <w:proofErr w:type="spellEnd"/>
      <w:r w:rsidRPr="00BD4779">
        <w:rPr>
          <w:rFonts w:ascii="Times New Roman" w:hAnsi="Times New Roman" w:cs="Times New Roman"/>
          <w:sz w:val="28"/>
          <w:szCs w:val="28"/>
        </w:rPr>
        <w:t xml:space="preserve">., что выше показателя прошлого года на 165,25 тыс. </w:t>
      </w:r>
      <w:proofErr w:type="spellStart"/>
      <w:r w:rsidRPr="00BD4779">
        <w:rPr>
          <w:rFonts w:ascii="Times New Roman" w:hAnsi="Times New Roman" w:cs="Times New Roman"/>
          <w:sz w:val="28"/>
          <w:szCs w:val="28"/>
        </w:rPr>
        <w:t>куб.м</w:t>
      </w:r>
      <w:proofErr w:type="spellEnd"/>
      <w:r w:rsidRPr="00BD4779">
        <w:rPr>
          <w:rFonts w:ascii="Times New Roman" w:hAnsi="Times New Roman" w:cs="Times New Roman"/>
          <w:sz w:val="28"/>
          <w:szCs w:val="28"/>
        </w:rPr>
        <w:t xml:space="preserve">.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отпуска горячей воды в 2015 году составил 332,37 тыс. </w:t>
      </w:r>
      <w:proofErr w:type="spellStart"/>
      <w:r w:rsidRPr="00BD4779">
        <w:rPr>
          <w:rFonts w:ascii="Times New Roman" w:hAnsi="Times New Roman" w:cs="Times New Roman"/>
          <w:sz w:val="28"/>
          <w:szCs w:val="28"/>
        </w:rPr>
        <w:t>куб.м</w:t>
      </w:r>
      <w:proofErr w:type="spellEnd"/>
      <w:r w:rsidRPr="00BD4779">
        <w:rPr>
          <w:rFonts w:ascii="Times New Roman" w:hAnsi="Times New Roman" w:cs="Times New Roman"/>
          <w:sz w:val="28"/>
          <w:szCs w:val="28"/>
        </w:rPr>
        <w:t xml:space="preserve">., что выше показателя прошлого года на 20,27 тыс. </w:t>
      </w:r>
      <w:proofErr w:type="spellStart"/>
      <w:r w:rsidRPr="00BD4779">
        <w:rPr>
          <w:rFonts w:ascii="Times New Roman" w:hAnsi="Times New Roman" w:cs="Times New Roman"/>
          <w:sz w:val="28"/>
          <w:szCs w:val="28"/>
        </w:rPr>
        <w:t>куб.м</w:t>
      </w:r>
      <w:proofErr w:type="spellEnd"/>
      <w:r w:rsidRPr="00BD4779">
        <w:rPr>
          <w:rFonts w:ascii="Times New Roman" w:hAnsi="Times New Roman" w:cs="Times New Roman"/>
          <w:sz w:val="28"/>
          <w:szCs w:val="28"/>
        </w:rPr>
        <w:t xml:space="preserve">.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Пропущено сточных вод в 2015 году 761 тыс.м</w:t>
      </w:r>
      <w:r w:rsidRPr="00BD4779">
        <w:rPr>
          <w:rFonts w:ascii="Times New Roman" w:hAnsi="Times New Roman" w:cs="Times New Roman"/>
          <w:sz w:val="28"/>
          <w:szCs w:val="28"/>
          <w:vertAlign w:val="superscript"/>
        </w:rPr>
        <w:t>3</w:t>
      </w:r>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Расходы на капитальный ремонт объектов систем тепл</w:t>
      </w:r>
      <w:proofErr w:type="gramStart"/>
      <w:r w:rsidRPr="00BD4779">
        <w:rPr>
          <w:rFonts w:ascii="Times New Roman" w:hAnsi="Times New Roman" w:cs="Times New Roman"/>
          <w:sz w:val="28"/>
          <w:szCs w:val="28"/>
        </w:rPr>
        <w:t>о-</w:t>
      </w:r>
      <w:proofErr w:type="gramEnd"/>
      <w:r w:rsidRPr="00BD4779">
        <w:rPr>
          <w:rFonts w:ascii="Times New Roman" w:hAnsi="Times New Roman" w:cs="Times New Roman"/>
          <w:sz w:val="28"/>
          <w:szCs w:val="28"/>
        </w:rPr>
        <w:t xml:space="preserve">, электро-, водоснабжения и водоотведения за счет всех источников финансирования составили в 2015 году 208512,0 </w:t>
      </w:r>
      <w:proofErr w:type="spellStart"/>
      <w:r w:rsidRPr="00BD4779">
        <w:rPr>
          <w:rFonts w:ascii="Times New Roman" w:hAnsi="Times New Roman" w:cs="Times New Roman"/>
          <w:sz w:val="28"/>
          <w:szCs w:val="28"/>
        </w:rPr>
        <w:t>тыс.руб</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Осуществлено финансирование в 2015 году следующих основных направлений жилищно–коммунального комплекса Туруханского района в соответствии Решением «О бюджете на 2015 год и плановый период 2016 - 2017 годов» и заключенными Соглашениями с муниципальными образованиями (поселениями) Туруханского района: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Возмещены расходов на компенсацию выпадающих доходов </w:t>
      </w:r>
      <w:proofErr w:type="spellStart"/>
      <w:r w:rsidRPr="00BD4779">
        <w:rPr>
          <w:rFonts w:ascii="Times New Roman" w:hAnsi="Times New Roman" w:cs="Times New Roman"/>
          <w:sz w:val="28"/>
          <w:szCs w:val="28"/>
        </w:rPr>
        <w:t>энергоснабжающих</w:t>
      </w:r>
      <w:proofErr w:type="spellEnd"/>
      <w:r w:rsidRPr="00BD4779">
        <w:rPr>
          <w:rFonts w:ascii="Times New Roman" w:hAnsi="Times New Roman" w:cs="Times New Roman"/>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 2015 год по Туруханскому муниципальному району, что составило 550 365,5 </w:t>
      </w:r>
      <w:proofErr w:type="spellStart"/>
      <w:r w:rsidRPr="00BD4779">
        <w:rPr>
          <w:rFonts w:ascii="Times New Roman" w:hAnsi="Times New Roman" w:cs="Times New Roman"/>
          <w:sz w:val="28"/>
          <w:szCs w:val="28"/>
        </w:rPr>
        <w:t>тыс</w:t>
      </w:r>
      <w:proofErr w:type="gramStart"/>
      <w:r w:rsidRPr="00BD4779">
        <w:rPr>
          <w:rFonts w:ascii="Times New Roman" w:hAnsi="Times New Roman" w:cs="Times New Roman"/>
          <w:sz w:val="28"/>
          <w:szCs w:val="28"/>
        </w:rPr>
        <w:t>.р</w:t>
      </w:r>
      <w:proofErr w:type="gramEnd"/>
      <w:r w:rsidRPr="00BD4779">
        <w:rPr>
          <w:rFonts w:ascii="Times New Roman" w:hAnsi="Times New Roman" w:cs="Times New Roman"/>
          <w:sz w:val="28"/>
          <w:szCs w:val="28"/>
        </w:rPr>
        <w:t>уб</w:t>
      </w:r>
      <w:proofErr w:type="spellEnd"/>
      <w:r w:rsidRPr="00BD4779">
        <w:rPr>
          <w:rFonts w:ascii="Times New Roman" w:hAnsi="Times New Roman" w:cs="Times New Roman"/>
          <w:sz w:val="28"/>
          <w:szCs w:val="28"/>
        </w:rPr>
        <w:t xml:space="preserve">.,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Возмещены расходов на реализацию мер дополнительной поддержки населения, направленных на соблюдение размера вносимой гражданами платы за коммунальные услуги за 2015 год по Туруханскому муниципальному району в размере 524 495,6 тыс.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Выплачена компенсация расходов на компенсацию, организациям осуществляющим управление многоквартирными домами, части расходов граждан на оплату за содержание и текущий ремонт общего имущества в многоквартирных домах, расположенных на территории муниципального образования Туруханский район за 2015 год в размере 140 000,00 тыс. рублей, </w:t>
      </w:r>
    </w:p>
    <w:p w:rsidR="00BD4779" w:rsidRPr="00BD4779" w:rsidRDefault="00BD4779" w:rsidP="00BD4779">
      <w:pPr>
        <w:autoSpaceDE w:val="0"/>
        <w:autoSpaceDN w:val="0"/>
        <w:adjustRightInd w:val="0"/>
        <w:spacing w:after="0"/>
        <w:ind w:firstLine="709"/>
        <w:jc w:val="both"/>
        <w:rPr>
          <w:rFonts w:ascii="Times New Roman" w:hAnsi="Times New Roman" w:cs="Times New Roman"/>
          <w:spacing w:val="6"/>
          <w:sz w:val="28"/>
          <w:szCs w:val="28"/>
        </w:rPr>
      </w:pPr>
      <w:r w:rsidRPr="00BD4779">
        <w:rPr>
          <w:rFonts w:ascii="Times New Roman" w:hAnsi="Times New Roman" w:cs="Times New Roman"/>
          <w:spacing w:val="6"/>
          <w:sz w:val="28"/>
          <w:szCs w:val="28"/>
        </w:rPr>
        <w:t xml:space="preserve">- Выплачена субсидия для </w:t>
      </w:r>
      <w:proofErr w:type="spellStart"/>
      <w:r w:rsidRPr="00BD4779">
        <w:rPr>
          <w:rFonts w:ascii="Times New Roman" w:hAnsi="Times New Roman" w:cs="Times New Roman"/>
          <w:spacing w:val="6"/>
          <w:sz w:val="28"/>
          <w:szCs w:val="28"/>
        </w:rPr>
        <w:t>софинансирования</w:t>
      </w:r>
      <w:proofErr w:type="spellEnd"/>
      <w:r w:rsidRPr="00BD4779">
        <w:rPr>
          <w:rFonts w:ascii="Times New Roman" w:hAnsi="Times New Roman" w:cs="Times New Roman"/>
          <w:spacing w:val="6"/>
          <w:sz w:val="28"/>
          <w:szCs w:val="28"/>
        </w:rPr>
        <w:t xml:space="preserve"> расходов на финансирование (возмещение) затрат теплоснабжающих и </w:t>
      </w:r>
      <w:proofErr w:type="spellStart"/>
      <w:r w:rsidRPr="00BD4779">
        <w:rPr>
          <w:rFonts w:ascii="Times New Roman" w:hAnsi="Times New Roman" w:cs="Times New Roman"/>
          <w:spacing w:val="6"/>
          <w:sz w:val="28"/>
          <w:szCs w:val="28"/>
        </w:rPr>
        <w:t>энергосбытовых</w:t>
      </w:r>
      <w:proofErr w:type="spellEnd"/>
      <w:r w:rsidRPr="00BD4779">
        <w:rPr>
          <w:rFonts w:ascii="Times New Roman" w:hAnsi="Times New Roman" w:cs="Times New Roman"/>
          <w:spacing w:val="6"/>
          <w:sz w:val="28"/>
          <w:szCs w:val="2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за 2015 год в размере 28 131,3 тыс. рублей,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ab/>
        <w:t xml:space="preserve">- Выплачена компенсация расходов на финансирование (возмещение) затрат теплоснабжающих и </w:t>
      </w:r>
      <w:proofErr w:type="spellStart"/>
      <w:r w:rsidRPr="00BD4779">
        <w:rPr>
          <w:rFonts w:ascii="Times New Roman" w:hAnsi="Times New Roman" w:cs="Times New Roman"/>
          <w:sz w:val="28"/>
          <w:szCs w:val="28"/>
        </w:rPr>
        <w:t>энергосбытовых</w:t>
      </w:r>
      <w:proofErr w:type="spellEnd"/>
      <w:r w:rsidRPr="00BD4779">
        <w:rPr>
          <w:rFonts w:ascii="Times New Roman" w:hAnsi="Times New Roman" w:cs="Times New Roman"/>
          <w:sz w:val="28"/>
          <w:szCs w:val="2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за 2015 год в размере 788,235 тыс.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ab/>
        <w:t xml:space="preserve">- Выплачена компенсация убытков, сформировавшихся с 2012 года </w:t>
      </w:r>
      <w:proofErr w:type="spellStart"/>
      <w:r w:rsidRPr="00BD4779">
        <w:rPr>
          <w:rFonts w:ascii="Times New Roman" w:hAnsi="Times New Roman" w:cs="Times New Roman"/>
          <w:sz w:val="28"/>
          <w:szCs w:val="28"/>
        </w:rPr>
        <w:t>энергоснабжающими</w:t>
      </w:r>
      <w:proofErr w:type="spellEnd"/>
      <w:r w:rsidRPr="00BD4779">
        <w:rPr>
          <w:rFonts w:ascii="Times New Roman" w:hAnsi="Times New Roman" w:cs="Times New Roman"/>
          <w:sz w:val="28"/>
          <w:szCs w:val="28"/>
        </w:rPr>
        <w:t xml:space="preserve"> организациями осуществляющими производство и реализацию электрической и тепловой энергии на территории муниципального образования Туруханский район в 2015 году в размере 100 000,00 тыс. рублей,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ab/>
      </w:r>
      <w:proofErr w:type="gramStart"/>
      <w:r w:rsidRPr="00BD4779">
        <w:rPr>
          <w:rFonts w:ascii="Times New Roman" w:hAnsi="Times New Roman" w:cs="Times New Roman"/>
          <w:sz w:val="28"/>
          <w:szCs w:val="28"/>
        </w:rPr>
        <w:t>- Осуществлено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2015 год в размере 6 000,00 тыс. руб.</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Экологическая ситуация</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Численность </w:t>
      </w:r>
      <w:r w:rsidRPr="00BD4779">
        <w:rPr>
          <w:rFonts w:ascii="Times New Roman" w:hAnsi="Times New Roman" w:cs="Times New Roman"/>
          <w:b/>
          <w:bCs/>
          <w:sz w:val="28"/>
          <w:szCs w:val="28"/>
        </w:rPr>
        <w:t>жителей</w:t>
      </w:r>
      <w:r w:rsidRPr="00BD4779">
        <w:rPr>
          <w:rFonts w:ascii="Times New Roman" w:hAnsi="Times New Roman" w:cs="Times New Roman"/>
          <w:sz w:val="28"/>
          <w:szCs w:val="28"/>
        </w:rPr>
        <w:t xml:space="preserve">, проживающих на территории, </w:t>
      </w:r>
      <w:r w:rsidRPr="00BD4779">
        <w:rPr>
          <w:rFonts w:ascii="Times New Roman" w:hAnsi="Times New Roman" w:cs="Times New Roman"/>
          <w:b/>
          <w:bCs/>
          <w:sz w:val="28"/>
          <w:szCs w:val="28"/>
        </w:rPr>
        <w:t xml:space="preserve">подверженной негативному воздействию </w:t>
      </w:r>
      <w:r w:rsidRPr="00BD4779">
        <w:rPr>
          <w:rFonts w:ascii="Times New Roman" w:hAnsi="Times New Roman" w:cs="Times New Roman"/>
          <w:sz w:val="28"/>
          <w:szCs w:val="28"/>
        </w:rPr>
        <w:t xml:space="preserve">вод в 2015 году составила 852 чел. К данной категории отнесены жители села </w:t>
      </w:r>
      <w:proofErr w:type="spellStart"/>
      <w:r w:rsidRPr="00BD4779">
        <w:rPr>
          <w:rFonts w:ascii="Times New Roman" w:hAnsi="Times New Roman" w:cs="Times New Roman"/>
          <w:sz w:val="28"/>
          <w:szCs w:val="28"/>
        </w:rPr>
        <w:t>Ворогово</w:t>
      </w:r>
      <w:proofErr w:type="spellEnd"/>
      <w:r w:rsidRPr="00BD4779">
        <w:rPr>
          <w:rFonts w:ascii="Times New Roman" w:hAnsi="Times New Roman" w:cs="Times New Roman"/>
          <w:sz w:val="28"/>
          <w:szCs w:val="28"/>
        </w:rPr>
        <w:t>, которое в весенние месяцы неоднократно подвергался паводкам из-за затора льдов. В результате протяженность участков русел рек, нуждающихся в увеличении пропускной способности составляет 15 км</w:t>
      </w:r>
      <w:proofErr w:type="gramStart"/>
      <w:r w:rsidRPr="00BD4779">
        <w:rPr>
          <w:rFonts w:ascii="Times New Roman" w:hAnsi="Times New Roman" w:cs="Times New Roman"/>
          <w:sz w:val="28"/>
          <w:szCs w:val="28"/>
        </w:rPr>
        <w:t>.</w:t>
      </w:r>
      <w:proofErr w:type="gramEnd"/>
      <w:r w:rsidRPr="00BD4779">
        <w:rPr>
          <w:rFonts w:ascii="Times New Roman" w:hAnsi="Times New Roman" w:cs="Times New Roman"/>
          <w:sz w:val="28"/>
          <w:szCs w:val="28"/>
        </w:rPr>
        <w:t xml:space="preserve"> </w:t>
      </w:r>
      <w:proofErr w:type="gramStart"/>
      <w:r w:rsidRPr="00BD4779">
        <w:rPr>
          <w:rFonts w:ascii="Times New Roman" w:hAnsi="Times New Roman" w:cs="Times New Roman"/>
          <w:sz w:val="28"/>
          <w:szCs w:val="28"/>
        </w:rPr>
        <w:t>р</w:t>
      </w:r>
      <w:proofErr w:type="gramEnd"/>
      <w:r w:rsidRPr="00BD4779">
        <w:rPr>
          <w:rFonts w:ascii="Times New Roman" w:hAnsi="Times New Roman" w:cs="Times New Roman"/>
          <w:sz w:val="28"/>
          <w:szCs w:val="28"/>
        </w:rPr>
        <w:t xml:space="preserve">еки Енисей (в районе села </w:t>
      </w:r>
      <w:proofErr w:type="spellStart"/>
      <w:r w:rsidRPr="00BD4779">
        <w:rPr>
          <w:rFonts w:ascii="Times New Roman" w:hAnsi="Times New Roman" w:cs="Times New Roman"/>
          <w:sz w:val="28"/>
          <w:szCs w:val="28"/>
        </w:rPr>
        <w:t>Ворогово</w:t>
      </w:r>
      <w:proofErr w:type="spellEnd"/>
      <w:r w:rsidRPr="00BD4779">
        <w:rPr>
          <w:rFonts w:ascii="Times New Roman" w:hAnsi="Times New Roman" w:cs="Times New Roman"/>
          <w:sz w:val="28"/>
          <w:szCs w:val="28"/>
        </w:rPr>
        <w:t xml:space="preserve">).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соответствии со сведениями, предоставленными Енисейским бассейновым водным управлением, в прошедшем периоде</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xml:space="preserve">произошло увеличение объема </w:t>
      </w:r>
      <w:r w:rsidRPr="00BD4779">
        <w:rPr>
          <w:rFonts w:ascii="Times New Roman" w:hAnsi="Times New Roman" w:cs="Times New Roman"/>
          <w:b/>
          <w:bCs/>
          <w:sz w:val="28"/>
          <w:szCs w:val="28"/>
        </w:rPr>
        <w:t>водопотребления</w:t>
      </w:r>
      <w:r w:rsidRPr="00BD4779">
        <w:rPr>
          <w:rFonts w:ascii="Times New Roman" w:hAnsi="Times New Roman" w:cs="Times New Roman"/>
          <w:sz w:val="28"/>
          <w:szCs w:val="28"/>
        </w:rPr>
        <w:t xml:space="preserve"> из природных источников, объема использования воды и сброса загрязнённых сточных вод. Данное увеличение связано с</w:t>
      </w:r>
      <w:r w:rsidRPr="00BD4779">
        <w:rPr>
          <w:rFonts w:ascii="Times New Roman" w:hAnsi="Times New Roman" w:cs="Times New Roman"/>
          <w:color w:val="FF0000"/>
          <w:sz w:val="28"/>
          <w:szCs w:val="28"/>
        </w:rPr>
        <w:t xml:space="preserve"> </w:t>
      </w:r>
      <w:proofErr w:type="spellStart"/>
      <w:r w:rsidRPr="00BD4779">
        <w:rPr>
          <w:rFonts w:ascii="Times New Roman" w:hAnsi="Times New Roman" w:cs="Times New Roman"/>
          <w:sz w:val="28"/>
          <w:szCs w:val="28"/>
        </w:rPr>
        <w:t>обводненностью</w:t>
      </w:r>
      <w:proofErr w:type="spellEnd"/>
      <w:r w:rsidRPr="00BD4779">
        <w:rPr>
          <w:rFonts w:ascii="Times New Roman" w:hAnsi="Times New Roman" w:cs="Times New Roman"/>
          <w:sz w:val="28"/>
          <w:szCs w:val="28"/>
        </w:rPr>
        <w:t xml:space="preserve"> добытой нефти ЗАО «</w:t>
      </w:r>
      <w:proofErr w:type="spellStart"/>
      <w:r w:rsidRPr="00BD4779">
        <w:rPr>
          <w:rFonts w:ascii="Times New Roman" w:hAnsi="Times New Roman" w:cs="Times New Roman"/>
          <w:sz w:val="28"/>
          <w:szCs w:val="28"/>
        </w:rPr>
        <w:t>Ванкорнефть</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Количество </w:t>
      </w:r>
      <w:proofErr w:type="gramStart"/>
      <w:r w:rsidRPr="00BD4779">
        <w:rPr>
          <w:rFonts w:ascii="Times New Roman" w:hAnsi="Times New Roman" w:cs="Times New Roman"/>
          <w:sz w:val="28"/>
          <w:szCs w:val="28"/>
        </w:rPr>
        <w:t>водозаборных сооружений, оснащенных системами учета воды увеличилось</w:t>
      </w:r>
      <w:proofErr w:type="gramEnd"/>
      <w:r w:rsidRPr="00BD4779">
        <w:rPr>
          <w:rFonts w:ascii="Times New Roman" w:hAnsi="Times New Roman" w:cs="Times New Roman"/>
          <w:sz w:val="28"/>
          <w:szCs w:val="28"/>
        </w:rPr>
        <w:t xml:space="preserve"> в связи с установкой приборов учета абонентов ООО «Водоканал».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Объем оборотного и повторно-последовательного использования воды в 2015 году снижен в связи с непредставлением отчет</w:t>
      </w:r>
      <w:proofErr w:type="gramStart"/>
      <w:r w:rsidRPr="00BD4779">
        <w:rPr>
          <w:rFonts w:ascii="Times New Roman" w:hAnsi="Times New Roman" w:cs="Times New Roman"/>
          <w:sz w:val="28"/>
          <w:szCs w:val="28"/>
        </w:rPr>
        <w:t>а ООО</w:t>
      </w:r>
      <w:proofErr w:type="gramEnd"/>
      <w:r w:rsidRPr="00BD4779">
        <w:rPr>
          <w:rFonts w:ascii="Times New Roman" w:hAnsi="Times New Roman" w:cs="Times New Roman"/>
          <w:sz w:val="28"/>
          <w:szCs w:val="28"/>
        </w:rPr>
        <w:t xml:space="preserve"> "ГЕО КОМПАНИ РУС".</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Увеличение объема нормативно-очищенных сточных вод, сбрасываемых в поверхностные водные объекты, связано с подключением сборного коллектора от поселков КЭМП-1200 и СТГ в общий сборный коллектор АО «</w:t>
      </w:r>
      <w:proofErr w:type="spellStart"/>
      <w:r w:rsidRPr="00BD4779">
        <w:rPr>
          <w:rFonts w:ascii="Times New Roman" w:hAnsi="Times New Roman" w:cs="Times New Roman"/>
          <w:sz w:val="28"/>
          <w:szCs w:val="28"/>
        </w:rPr>
        <w:t>Ванкорнефть</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Количество очистных сооружений, оснащенных средствами учета воды, увеличилось в силу выполненного оснащения средством измерения очистных сооружений ОАО «</w:t>
      </w:r>
      <w:proofErr w:type="spellStart"/>
      <w:r w:rsidRPr="00BD4779">
        <w:rPr>
          <w:rFonts w:ascii="Times New Roman" w:hAnsi="Times New Roman" w:cs="Times New Roman"/>
          <w:sz w:val="28"/>
          <w:szCs w:val="28"/>
        </w:rPr>
        <w:t>Краснояскграфит</w:t>
      </w:r>
      <w:proofErr w:type="spellEnd"/>
      <w:r w:rsidRPr="00BD4779">
        <w:rPr>
          <w:rFonts w:ascii="Times New Roman" w:hAnsi="Times New Roman" w:cs="Times New Roman"/>
          <w:sz w:val="28"/>
          <w:szCs w:val="28"/>
        </w:rPr>
        <w:t>».</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Доля объема водопотребления из подземных источников составляет 97,0% из всего объема водопотребления из природных источников.</w:t>
      </w:r>
    </w:p>
    <w:p w:rsidR="00BD4779" w:rsidRPr="00BD4779" w:rsidRDefault="00BD4779" w:rsidP="00BD4779">
      <w:pPr>
        <w:autoSpaceDE w:val="0"/>
        <w:autoSpaceDN w:val="0"/>
        <w:adjustRightInd w:val="0"/>
        <w:spacing w:after="0"/>
        <w:ind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В общем объеме использования воды, забранной из природных источников, 95,9% составляет количество воды, направленное на поддержание пластового давления; 2% - на хозяйственно-питьевые нужды; 0,6% - на производственные нужды, 1,5% - прочее потребление.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Объем </w:t>
      </w:r>
      <w:r w:rsidRPr="00BD4779">
        <w:rPr>
          <w:rFonts w:ascii="Times New Roman" w:hAnsi="Times New Roman" w:cs="Times New Roman"/>
          <w:b/>
          <w:bCs/>
          <w:sz w:val="28"/>
          <w:szCs w:val="28"/>
        </w:rPr>
        <w:t>загрязняющих веществ,</w:t>
      </w:r>
      <w:r w:rsidRPr="00BD4779">
        <w:rPr>
          <w:rFonts w:ascii="Times New Roman" w:hAnsi="Times New Roman" w:cs="Times New Roman"/>
          <w:sz w:val="28"/>
          <w:szCs w:val="28"/>
        </w:rPr>
        <w:t xml:space="preserve"> отходящих от стационарных источников загрязнения атмосферного воздуха, увеличился на 42,1% по отношению к 2014 году,</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 xml:space="preserve">в том числе увеличились на 43,8% по отношению к предыдущему году выбросы в атмосферный воздух загрязняющих веществ от стационарных источников загрязнения атмосферного воздуха.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Объем выбросов в атмосферный воздух загрязняющих веществ от передвижных источников в 2015 году снизился по отношению к предыдущему году на 0,5% в связи со снижением количества автотранспортных средств.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На территории Туруханского района в отчетном году объем образования </w:t>
      </w:r>
      <w:r w:rsidRPr="00BD4779">
        <w:rPr>
          <w:rFonts w:ascii="Times New Roman" w:hAnsi="Times New Roman" w:cs="Times New Roman"/>
          <w:b/>
          <w:bCs/>
          <w:sz w:val="28"/>
          <w:szCs w:val="28"/>
        </w:rPr>
        <w:t>отходов</w:t>
      </w:r>
      <w:r w:rsidRPr="00BD4779">
        <w:rPr>
          <w:rFonts w:ascii="Times New Roman" w:hAnsi="Times New Roman" w:cs="Times New Roman"/>
          <w:sz w:val="28"/>
          <w:szCs w:val="28"/>
        </w:rPr>
        <w:t xml:space="preserve"> </w:t>
      </w:r>
      <w:r w:rsidRPr="00BD4779">
        <w:rPr>
          <w:rFonts w:ascii="Times New Roman" w:hAnsi="Times New Roman" w:cs="Times New Roman"/>
          <w:b/>
          <w:bCs/>
          <w:sz w:val="28"/>
          <w:szCs w:val="28"/>
        </w:rPr>
        <w:t>производства и потребления</w:t>
      </w:r>
      <w:r w:rsidRPr="00BD4779">
        <w:rPr>
          <w:rFonts w:ascii="Times New Roman" w:hAnsi="Times New Roman" w:cs="Times New Roman"/>
          <w:sz w:val="28"/>
          <w:szCs w:val="28"/>
        </w:rPr>
        <w:t xml:space="preserve"> увеличился на 3,8% и составил 106,9 тыс. тонн. Большая часть (82,9%) отходов производства и потребления используются предприятиями в качестве вторичного сырья. Остальные отходы утилизируются различными способами и в соответствии с требованиями природоохранного законодательства.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Объем отходов, переданных для обезвреживания другим организациям, в 2015 году составил 1,3 тыс. тонн или 1,2% в общем объеме отходов, обезвреженных на собственном предприятии – 0,6 тыс. тонн или 0,6% в общем объеме отходов.</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BD4779">
        <w:rPr>
          <w:rFonts w:ascii="Times New Roman" w:hAnsi="Times New Roman" w:cs="Times New Roman"/>
          <w:b/>
          <w:bCs/>
          <w:color w:val="000000"/>
          <w:sz w:val="28"/>
          <w:szCs w:val="28"/>
        </w:rPr>
        <w:t>Правонарушения</w:t>
      </w:r>
    </w:p>
    <w:p w:rsidR="00BD4779" w:rsidRPr="00BD4779" w:rsidRDefault="00BD4779" w:rsidP="00BD4779">
      <w:pPr>
        <w:pStyle w:val="a3"/>
        <w:autoSpaceDE w:val="0"/>
        <w:autoSpaceDN w:val="0"/>
        <w:adjustRightInd w:val="0"/>
        <w:spacing w:after="0"/>
        <w:ind w:left="1069"/>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В сфере безопасности населения основной целью является стабилизация </w:t>
      </w:r>
      <w:proofErr w:type="gramStart"/>
      <w:r w:rsidRPr="00BD4779">
        <w:rPr>
          <w:rFonts w:ascii="Times New Roman" w:hAnsi="Times New Roman" w:cs="Times New Roman"/>
          <w:sz w:val="28"/>
          <w:szCs w:val="28"/>
        </w:rPr>
        <w:t>криминогенной обстановки</w:t>
      </w:r>
      <w:proofErr w:type="gramEnd"/>
      <w:r w:rsidRPr="00BD4779">
        <w:rPr>
          <w:rFonts w:ascii="Times New Roman" w:hAnsi="Times New Roman" w:cs="Times New Roman"/>
          <w:sz w:val="28"/>
          <w:szCs w:val="28"/>
        </w:rPr>
        <w:t>, повышение эффективности борьбы с преступностью, профилактика правонарушений, создание условий, способствующих укреплению доверия населения к полиции и формированию позитивного общественного мнения о правоохранительной системе.</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Достижению указанной цели способствует выполнение следующих задач:</w:t>
      </w:r>
    </w:p>
    <w:p w:rsidR="00BD4779" w:rsidRPr="00BD4779" w:rsidRDefault="00A55A37" w:rsidP="001264DC">
      <w:pPr>
        <w:numPr>
          <w:ilvl w:val="0"/>
          <w:numId w:val="1"/>
        </w:numPr>
        <w:tabs>
          <w:tab w:val="left" w:pos="1134"/>
        </w:tabs>
        <w:autoSpaceDE w:val="0"/>
        <w:autoSpaceDN w:val="0"/>
        <w:adjustRightInd w:val="0"/>
        <w:spacing w:after="0"/>
        <w:ind w:firstLine="851"/>
        <w:jc w:val="both"/>
        <w:rPr>
          <w:rFonts w:ascii="Times New Roman" w:hAnsi="Times New Roman" w:cs="Times New Roman"/>
          <w:b/>
          <w:bCs/>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охрана общественного порядка и обеспечение безопасности населения;</w:t>
      </w:r>
    </w:p>
    <w:p w:rsidR="00BD4779" w:rsidRPr="00BD4779" w:rsidRDefault="00A55A37" w:rsidP="001264DC">
      <w:pPr>
        <w:numPr>
          <w:ilvl w:val="0"/>
          <w:numId w:val="1"/>
        </w:numPr>
        <w:tabs>
          <w:tab w:val="left" w:pos="1134"/>
        </w:tabs>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укрепление материально-технической базы полиции;</w:t>
      </w:r>
    </w:p>
    <w:p w:rsidR="00BD4779" w:rsidRPr="00BD4779" w:rsidRDefault="00A55A37" w:rsidP="001264DC">
      <w:pPr>
        <w:numPr>
          <w:ilvl w:val="0"/>
          <w:numId w:val="1"/>
        </w:numPr>
        <w:tabs>
          <w:tab w:val="left" w:pos="1134"/>
        </w:tabs>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обеспечение безопасности дорожного движения;</w:t>
      </w:r>
    </w:p>
    <w:p w:rsidR="00BD4779" w:rsidRPr="00BD4779" w:rsidRDefault="00A55A37" w:rsidP="001264DC">
      <w:pPr>
        <w:numPr>
          <w:ilvl w:val="0"/>
          <w:numId w:val="1"/>
        </w:numPr>
        <w:tabs>
          <w:tab w:val="left" w:pos="1134"/>
        </w:tabs>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профилактика правонарушений.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В отчетном периоде по результатам деятельности правоохранительных органов в системе показателей, характеризующих уровень охраны общественного порядка на территории МО Туруханский район, наблюдались следующие тенденции.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Количество зарегистрированных преступлений увеличилось с 341 ед. в 2014 году до 342 ед. в 2015 году, из них тяжких и особо тяжких – с 53 ед. в 2014 году до 64 ед. в 2015 году;</w:t>
      </w:r>
      <w:proofErr w:type="gramEnd"/>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Количество преступлений, совершенных в </w:t>
      </w:r>
      <w:proofErr w:type="gramStart"/>
      <w:r w:rsidRPr="00BD4779">
        <w:rPr>
          <w:rFonts w:ascii="Times New Roman" w:hAnsi="Times New Roman" w:cs="Times New Roman"/>
          <w:sz w:val="28"/>
          <w:szCs w:val="28"/>
        </w:rPr>
        <w:t>общественным</w:t>
      </w:r>
      <w:proofErr w:type="gramEnd"/>
      <w:r w:rsidRPr="00BD4779">
        <w:rPr>
          <w:rFonts w:ascii="Times New Roman" w:hAnsi="Times New Roman" w:cs="Times New Roman"/>
          <w:sz w:val="28"/>
          <w:szCs w:val="28"/>
        </w:rPr>
        <w:t xml:space="preserve"> местах, увеличилось с 68 ед. в 2014 году до 91 ед. в 2015 году;</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Количество лиц, совершивших преступления, увеличилось с 213 чел. в 2014 году до 239 чел. в 2015 году;</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Количество преступлений, совершаемых несовершеннолетними или при их участии, уменьшилось с 30 ед. в 2014 году до 26 ед. в 2015 году.</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Для обеспечения </w:t>
      </w:r>
      <w:proofErr w:type="gramStart"/>
      <w:r w:rsidRPr="00BD4779">
        <w:rPr>
          <w:rFonts w:ascii="Times New Roman" w:hAnsi="Times New Roman" w:cs="Times New Roman"/>
          <w:sz w:val="28"/>
          <w:szCs w:val="28"/>
        </w:rPr>
        <w:t>улучшения показателей развития сферы безопасности населения</w:t>
      </w:r>
      <w:proofErr w:type="gramEnd"/>
      <w:r w:rsidRPr="00BD4779">
        <w:rPr>
          <w:rFonts w:ascii="Times New Roman" w:hAnsi="Times New Roman" w:cs="Times New Roman"/>
          <w:sz w:val="28"/>
          <w:szCs w:val="28"/>
        </w:rPr>
        <w:t xml:space="preserve"> необходимо осуществить комплекс мероприятий, включающих:</w:t>
      </w:r>
    </w:p>
    <w:p w:rsidR="00BD4779" w:rsidRPr="00BD4779" w:rsidRDefault="00BD4779" w:rsidP="00BD4779">
      <w:pPr>
        <w:numPr>
          <w:ilvl w:val="0"/>
          <w:numId w:val="2"/>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улучшение материально - технического оснащения подразделений полиции, обеспечивающих охрану общественного порядка и безопасности населения;</w:t>
      </w:r>
    </w:p>
    <w:p w:rsidR="00BD4779" w:rsidRPr="00BD4779" w:rsidRDefault="00BD4779" w:rsidP="00BD4779">
      <w:pPr>
        <w:numPr>
          <w:ilvl w:val="0"/>
          <w:numId w:val="2"/>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 своевременное выявление, ликвидация и профилактика возникновения опасных участков аварийности;</w:t>
      </w:r>
    </w:p>
    <w:p w:rsidR="00BD4779" w:rsidRPr="00BD4779" w:rsidRDefault="00BD4779" w:rsidP="00BD4779">
      <w:pPr>
        <w:numPr>
          <w:ilvl w:val="0"/>
          <w:numId w:val="2"/>
        </w:num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совершенствование форм и методов работы служб, осуществляющих задачи по выявлению и раскрытию преступлений, а также контрольно-профилактические функции в сфере предупреждения и пресечения правонарушений.</w:t>
      </w:r>
    </w:p>
    <w:p w:rsidR="00BD4779" w:rsidRPr="00BD4779" w:rsidRDefault="001155A4" w:rsidP="00BD477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 xml:space="preserve"> </w:t>
      </w:r>
    </w:p>
    <w:p w:rsidR="00BD4779" w:rsidRPr="001155A4" w:rsidRDefault="00BD4779" w:rsidP="001155A4">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1155A4">
        <w:rPr>
          <w:rFonts w:ascii="Times New Roman" w:hAnsi="Times New Roman" w:cs="Times New Roman"/>
          <w:b/>
          <w:bCs/>
          <w:color w:val="000000"/>
          <w:sz w:val="28"/>
          <w:szCs w:val="28"/>
        </w:rPr>
        <w:t xml:space="preserve"> Основные проблемы развития муниципального образования</w:t>
      </w:r>
    </w:p>
    <w:p w:rsidR="001155A4" w:rsidRPr="00BD4779" w:rsidRDefault="001155A4" w:rsidP="001155A4">
      <w:pPr>
        <w:autoSpaceDE w:val="0"/>
        <w:autoSpaceDN w:val="0"/>
        <w:adjustRightInd w:val="0"/>
        <w:spacing w:after="0"/>
        <w:ind w:firstLine="709"/>
        <w:jc w:val="center"/>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Основные проблемы развития МО Туруханский район связаны с его географическим положением: значительная удаленность административного центра от краевого - 1100 км (по реке Енисей – 1 440 км); Протяженность района с севера на юг составляет более 1000 км.</w:t>
      </w:r>
      <w:r w:rsidRPr="00BD4779">
        <w:rPr>
          <w:rFonts w:ascii="Times New Roman" w:hAnsi="Times New Roman" w:cs="Times New Roman"/>
          <w:color w:val="FF0000"/>
          <w:sz w:val="28"/>
          <w:szCs w:val="28"/>
        </w:rPr>
        <w:t xml:space="preserve"> </w:t>
      </w:r>
      <w:r w:rsidRPr="00BD4779">
        <w:rPr>
          <w:rFonts w:ascii="Times New Roman" w:hAnsi="Times New Roman" w:cs="Times New Roman"/>
          <w:sz w:val="28"/>
          <w:szCs w:val="28"/>
        </w:rPr>
        <w:t>Это делает более острыми вопросы развития транспортной инфраструктуры на территории муниципального образования. Данные вопросы включают в себя необходимость решения проблем, связанных со значительной удаленностью населенных пунктов друг от друга, коротким судоходным периодом, отсутствием развитой сети автодорог, высокой стоимостью летного часа, а также высокой стоимостью зимников и зависимостью от природных условий.</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roofErr w:type="gramStart"/>
      <w:r w:rsidRPr="00BD4779">
        <w:rPr>
          <w:rFonts w:ascii="Times New Roman" w:hAnsi="Times New Roman" w:cs="Times New Roman"/>
          <w:sz w:val="28"/>
          <w:szCs w:val="28"/>
        </w:rPr>
        <w:t>Кроме указанных проблем  развития транспортной инфраструктуры перед органами местного самоуправления района постоянно стоит необходимость решения вопросов местного значения с учетом существования низкой численности населения, наличия неперспективных населенных пунктов, необходимости сохранения КМНС в местах их исторического проживания, ограниченных возможностей занятости населения по месту постоянного проживания (в границах существующих поселений),  трудности оказания экстренной медицинской помощи, недостаточной материально-технической обеспеченности социальных учреждений, высокой изношенности</w:t>
      </w:r>
      <w:proofErr w:type="gramEnd"/>
      <w:r w:rsidRPr="00BD4779">
        <w:rPr>
          <w:rFonts w:ascii="Times New Roman" w:hAnsi="Times New Roman" w:cs="Times New Roman"/>
          <w:sz w:val="28"/>
          <w:szCs w:val="28"/>
        </w:rPr>
        <w:t xml:space="preserve"> объектов социальной инфраструктуры, необходимостью модернизации и обновления инженерных систем жилищно-коммунального хозяйства, высоких тарифов на электроэнергию, высокой стоимости строительства, неразвитого </w:t>
      </w:r>
      <w:proofErr w:type="spellStart"/>
      <w:r w:rsidRPr="00BD4779">
        <w:rPr>
          <w:rFonts w:ascii="Times New Roman" w:hAnsi="Times New Roman" w:cs="Times New Roman"/>
          <w:sz w:val="28"/>
          <w:szCs w:val="28"/>
        </w:rPr>
        <w:t>самообеспечения</w:t>
      </w:r>
      <w:proofErr w:type="spellEnd"/>
      <w:r w:rsidRPr="00BD4779">
        <w:rPr>
          <w:rFonts w:ascii="Times New Roman" w:hAnsi="Times New Roman" w:cs="Times New Roman"/>
          <w:sz w:val="28"/>
          <w:szCs w:val="28"/>
        </w:rPr>
        <w:t xml:space="preserve"> района за счет использования местного топлива, отсутствия промышленных произво</w:t>
      </w:r>
      <w:proofErr w:type="gramStart"/>
      <w:r w:rsidRPr="00BD4779">
        <w:rPr>
          <w:rFonts w:ascii="Times New Roman" w:hAnsi="Times New Roman" w:cs="Times New Roman"/>
          <w:sz w:val="28"/>
          <w:szCs w:val="28"/>
        </w:rPr>
        <w:t>дств в др</w:t>
      </w:r>
      <w:proofErr w:type="gramEnd"/>
      <w:r w:rsidRPr="00BD4779">
        <w:rPr>
          <w:rFonts w:ascii="Times New Roman" w:hAnsi="Times New Roman" w:cs="Times New Roman"/>
          <w:sz w:val="28"/>
          <w:szCs w:val="28"/>
        </w:rPr>
        <w:t xml:space="preserve">угих секторах экономики (кроме </w:t>
      </w:r>
      <w:proofErr w:type="spellStart"/>
      <w:r w:rsidRPr="00BD4779">
        <w:rPr>
          <w:rFonts w:ascii="Times New Roman" w:hAnsi="Times New Roman" w:cs="Times New Roman"/>
          <w:sz w:val="28"/>
          <w:szCs w:val="28"/>
        </w:rPr>
        <w:t>нефте</w:t>
      </w:r>
      <w:proofErr w:type="spellEnd"/>
      <w:r w:rsidRPr="00BD4779">
        <w:rPr>
          <w:rFonts w:ascii="Times New Roman" w:hAnsi="Times New Roman" w:cs="Times New Roman"/>
          <w:sz w:val="28"/>
          <w:szCs w:val="28"/>
        </w:rPr>
        <w:t xml:space="preserve">- и газодобычи). </w:t>
      </w:r>
    </w:p>
    <w:p w:rsidR="00BD4779" w:rsidRPr="001155A4" w:rsidRDefault="00BD4779" w:rsidP="001155A4">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1155A4">
        <w:rPr>
          <w:rFonts w:ascii="Times New Roman" w:hAnsi="Times New Roman" w:cs="Times New Roman"/>
          <w:b/>
          <w:bCs/>
          <w:color w:val="000000"/>
          <w:sz w:val="28"/>
          <w:szCs w:val="28"/>
        </w:rPr>
        <w:t xml:space="preserve"> Перспективы социально-экономического развития муниципального образования</w:t>
      </w:r>
    </w:p>
    <w:p w:rsidR="001155A4" w:rsidRPr="00BD4779" w:rsidRDefault="001155A4" w:rsidP="001155A4">
      <w:pPr>
        <w:autoSpaceDE w:val="0"/>
        <w:autoSpaceDN w:val="0"/>
        <w:adjustRightInd w:val="0"/>
        <w:spacing w:after="0"/>
        <w:ind w:firstLine="709"/>
        <w:jc w:val="center"/>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Перспективы развития МО Туруханский </w:t>
      </w:r>
      <w:proofErr w:type="gramStart"/>
      <w:r w:rsidRPr="00BD4779">
        <w:rPr>
          <w:rFonts w:ascii="Times New Roman" w:hAnsi="Times New Roman" w:cs="Times New Roman"/>
          <w:sz w:val="28"/>
          <w:szCs w:val="28"/>
        </w:rPr>
        <w:t>район</w:t>
      </w:r>
      <w:proofErr w:type="gramEnd"/>
      <w:r w:rsidRPr="00BD4779">
        <w:rPr>
          <w:rFonts w:ascii="Times New Roman" w:hAnsi="Times New Roman" w:cs="Times New Roman"/>
          <w:sz w:val="28"/>
          <w:szCs w:val="28"/>
        </w:rPr>
        <w:t xml:space="preserve"> прежде всего связаны с освоением и эксплуатацией Ванкорского нефтегазового месторождения (рост объемов добычи, переработки и транспортировки нефти и газа).</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Кроме того, благоприятными факторами развития территории являются </w:t>
      </w:r>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повышение качества предоставляемых населению услуг в сфере здравоохранения (развитие доступной и качественной медицинской помощи и профилактика заболеваний), образования и ЖКХ, сохранение культурно-исторического наследия;</w:t>
      </w:r>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строительство и реконструкция объектов социальной сферы, а также создание условий для роста жилищного строительства;</w:t>
      </w:r>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освоение месторождений прочих полезных ископаемых;</w:t>
      </w:r>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 xml:space="preserve">развитие туризма на базе особо охраняемых природных зон муниципального значения, объектов культурно-исторического значения и мест проживания коренных и малочисленных народов Севера; </w:t>
      </w:r>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4779" w:rsidRPr="00BD4779">
        <w:rPr>
          <w:rFonts w:ascii="Times New Roman" w:hAnsi="Times New Roman" w:cs="Times New Roman"/>
          <w:sz w:val="28"/>
          <w:szCs w:val="28"/>
        </w:rPr>
        <w:t xml:space="preserve">развитие воздушной и наземной транспортных коммуникаций в связи с интенсивным освоением месторождений полезных ископаемых и развитием туризма, </w:t>
      </w:r>
      <w:proofErr w:type="gramEnd"/>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развитие перерабатывающих производств (продукция из рыбы и из дикоросов) на основе рационального природопользования, которые будут способствовать снижению безработицы и развитию коренных и малочисленных народов Севера;</w:t>
      </w:r>
    </w:p>
    <w:p w:rsidR="00BD4779" w:rsidRPr="00BD4779" w:rsidRDefault="001264DC" w:rsidP="001264DC">
      <w:pPr>
        <w:numPr>
          <w:ilvl w:val="0"/>
          <w:numId w:val="1"/>
        </w:num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779" w:rsidRPr="00BD4779">
        <w:rPr>
          <w:rFonts w:ascii="Times New Roman" w:hAnsi="Times New Roman" w:cs="Times New Roman"/>
          <w:sz w:val="28"/>
          <w:szCs w:val="28"/>
        </w:rPr>
        <w:t>реализация мероприятий в области молодежной политики, направленных на создание условий для привлечения и закрепления в районе молодых квалифицированных кадров и улучшение демографической ситуации.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1155A4" w:rsidRDefault="00BD4779" w:rsidP="001155A4">
      <w:pPr>
        <w:pStyle w:val="a3"/>
        <w:numPr>
          <w:ilvl w:val="0"/>
          <w:numId w:val="3"/>
        </w:numPr>
        <w:autoSpaceDE w:val="0"/>
        <w:autoSpaceDN w:val="0"/>
        <w:adjustRightInd w:val="0"/>
        <w:spacing w:after="0"/>
        <w:jc w:val="center"/>
        <w:rPr>
          <w:rFonts w:ascii="Times New Roman" w:hAnsi="Times New Roman" w:cs="Times New Roman"/>
          <w:b/>
          <w:bCs/>
          <w:color w:val="000000"/>
          <w:sz w:val="28"/>
          <w:szCs w:val="28"/>
        </w:rPr>
      </w:pPr>
      <w:r w:rsidRPr="001155A4">
        <w:rPr>
          <w:rFonts w:ascii="Times New Roman" w:hAnsi="Times New Roman" w:cs="Times New Roman"/>
          <w:b/>
          <w:bCs/>
          <w:color w:val="000000"/>
          <w:sz w:val="28"/>
          <w:szCs w:val="28"/>
        </w:rPr>
        <w:t xml:space="preserve"> Проблемы при формировании мониторинга социально-экономического развития муниципального образования.</w:t>
      </w:r>
    </w:p>
    <w:p w:rsidR="001155A4" w:rsidRPr="00BD4779" w:rsidRDefault="001155A4" w:rsidP="001155A4">
      <w:pPr>
        <w:autoSpaceDE w:val="0"/>
        <w:autoSpaceDN w:val="0"/>
        <w:adjustRightInd w:val="0"/>
        <w:spacing w:after="0"/>
        <w:ind w:firstLine="709"/>
        <w:jc w:val="center"/>
        <w:rPr>
          <w:rFonts w:ascii="Times New Roman" w:hAnsi="Times New Roman" w:cs="Times New Roman"/>
          <w:b/>
          <w:bCs/>
          <w:color w:val="000000"/>
          <w:sz w:val="28"/>
          <w:szCs w:val="28"/>
        </w:rPr>
      </w:pPr>
    </w:p>
    <w:p w:rsidR="00BD4779" w:rsidRPr="00BD4779" w:rsidRDefault="00BD4779" w:rsidP="00BD4779">
      <w:pPr>
        <w:autoSpaceDE w:val="0"/>
        <w:autoSpaceDN w:val="0"/>
        <w:adjustRightInd w:val="0"/>
        <w:spacing w:after="0"/>
        <w:ind w:right="80" w:firstLine="709"/>
        <w:jc w:val="both"/>
        <w:rPr>
          <w:rFonts w:ascii="Times New Roman" w:hAnsi="Times New Roman" w:cs="Times New Roman"/>
          <w:sz w:val="28"/>
          <w:szCs w:val="28"/>
        </w:rPr>
      </w:pPr>
      <w:r w:rsidRPr="00BD4779">
        <w:rPr>
          <w:rFonts w:ascii="Times New Roman" w:hAnsi="Times New Roman" w:cs="Times New Roman"/>
          <w:sz w:val="28"/>
          <w:szCs w:val="28"/>
        </w:rPr>
        <w:t>Основной проблемой при формировании мониторинга и прогноза социально-экономического развития муниципального образования Туруханский район является отказ ООО «РН-</w:t>
      </w:r>
      <w:proofErr w:type="spellStart"/>
      <w:r w:rsidRPr="00BD4779">
        <w:rPr>
          <w:rFonts w:ascii="Times New Roman" w:hAnsi="Times New Roman" w:cs="Times New Roman"/>
          <w:sz w:val="28"/>
          <w:szCs w:val="28"/>
        </w:rPr>
        <w:t>Ванкор</w:t>
      </w:r>
      <w:proofErr w:type="spellEnd"/>
      <w:r w:rsidRPr="00BD4779">
        <w:rPr>
          <w:rFonts w:ascii="Times New Roman" w:hAnsi="Times New Roman" w:cs="Times New Roman"/>
          <w:sz w:val="28"/>
          <w:szCs w:val="28"/>
        </w:rPr>
        <w:t xml:space="preserve">» (предприятия, играющего ключевую роль в формировании показателей СЭР территории) в предоставлении информации, необходимой для формирования прогноза социально-экономического развития муниципального образования. </w:t>
      </w:r>
    </w:p>
    <w:p w:rsidR="00BD4779" w:rsidRPr="00BD4779" w:rsidRDefault="00BD4779" w:rsidP="00BD4779">
      <w:pPr>
        <w:autoSpaceDE w:val="0"/>
        <w:autoSpaceDN w:val="0"/>
        <w:adjustRightInd w:val="0"/>
        <w:spacing w:after="0"/>
        <w:ind w:right="80" w:firstLine="709"/>
        <w:jc w:val="both"/>
        <w:rPr>
          <w:rFonts w:ascii="Times New Roman" w:hAnsi="Times New Roman" w:cs="Times New Roman"/>
          <w:color w:val="000000"/>
          <w:sz w:val="28"/>
          <w:szCs w:val="28"/>
        </w:rPr>
      </w:pPr>
      <w:r w:rsidRPr="00BD4779">
        <w:rPr>
          <w:rFonts w:ascii="Times New Roman" w:hAnsi="Times New Roman" w:cs="Times New Roman"/>
          <w:color w:val="000000"/>
          <w:sz w:val="28"/>
          <w:szCs w:val="28"/>
        </w:rPr>
        <w:t>В соответствии с требованиями ОАО «НК «Роснефть» запрашиваемая информация может быть представлена только центральным аппаратом ОАО «НК Роснефть», так как носит конфиденциальный характер.</w:t>
      </w:r>
    </w:p>
    <w:p w:rsidR="00BD4779" w:rsidRPr="00BD4779" w:rsidRDefault="00BD4779" w:rsidP="00BD4779">
      <w:pPr>
        <w:autoSpaceDE w:val="0"/>
        <w:autoSpaceDN w:val="0"/>
        <w:adjustRightInd w:val="0"/>
        <w:spacing w:after="0"/>
        <w:ind w:right="80" w:firstLine="709"/>
        <w:jc w:val="both"/>
        <w:rPr>
          <w:rFonts w:ascii="Times New Roman" w:hAnsi="Times New Roman" w:cs="Times New Roman"/>
          <w:sz w:val="28"/>
          <w:szCs w:val="28"/>
        </w:rPr>
      </w:pPr>
      <w:r w:rsidRPr="00BD4779">
        <w:rPr>
          <w:rFonts w:ascii="Times New Roman" w:hAnsi="Times New Roman" w:cs="Times New Roman"/>
          <w:color w:val="000000"/>
          <w:sz w:val="28"/>
          <w:szCs w:val="28"/>
        </w:rPr>
        <w:t>С целью получения информации необходимо направить мотивированный запрос за визой должностного лица не ниже уполномоченного надлежащим образом заместителя главы субъекта федерации о получении информации Вице-президенту ОАО «НК «Роснефть» по экономике и финансам, копию запроса - директору Департамента по взаимодействию с органами государственной власти.</w:t>
      </w:r>
    </w:p>
    <w:p w:rsidR="00BD4779" w:rsidRPr="00BD4779" w:rsidRDefault="00BD4779" w:rsidP="00BD4779">
      <w:pPr>
        <w:autoSpaceDE w:val="0"/>
        <w:autoSpaceDN w:val="0"/>
        <w:adjustRightInd w:val="0"/>
        <w:spacing w:after="0"/>
        <w:ind w:right="80" w:firstLine="709"/>
        <w:jc w:val="both"/>
        <w:rPr>
          <w:rFonts w:ascii="Times New Roman" w:hAnsi="Times New Roman" w:cs="Times New Roman"/>
          <w:sz w:val="28"/>
          <w:szCs w:val="28"/>
        </w:rPr>
      </w:pPr>
      <w:r w:rsidRPr="00BD4779">
        <w:rPr>
          <w:rFonts w:ascii="Times New Roman" w:hAnsi="Times New Roman" w:cs="Times New Roman"/>
          <w:sz w:val="28"/>
          <w:szCs w:val="28"/>
        </w:rPr>
        <w:t>Кроме указанной причины имеют место технические проблемы, возникающие при работе с программным обеспечением АИС ММО. У пользователей программы на рабочем месте возникают сложности в части сохранения внесенных данных – процесс может занимать длительное время или вовсе привести к сбою с потерей информации.</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BD4779" w:rsidRPr="00BD4779" w:rsidRDefault="00BD4779" w:rsidP="00BD4779">
      <w:pPr>
        <w:autoSpaceDE w:val="0"/>
        <w:autoSpaceDN w:val="0"/>
        <w:adjustRightInd w:val="0"/>
        <w:spacing w:after="0"/>
        <w:ind w:firstLine="709"/>
        <w:jc w:val="both"/>
        <w:rPr>
          <w:rFonts w:ascii="Times New Roman" w:hAnsi="Times New Roman" w:cs="Times New Roman"/>
          <w:sz w:val="28"/>
          <w:szCs w:val="28"/>
        </w:rPr>
      </w:pPr>
      <w:r w:rsidRPr="00BD4779">
        <w:rPr>
          <w:rFonts w:ascii="Times New Roman" w:hAnsi="Times New Roman" w:cs="Times New Roman"/>
          <w:sz w:val="28"/>
          <w:szCs w:val="28"/>
        </w:rPr>
        <w:t xml:space="preserve"> </w:t>
      </w:r>
    </w:p>
    <w:p w:rsidR="00D254BE" w:rsidRPr="00BD4779" w:rsidRDefault="00D254BE" w:rsidP="00BD4779">
      <w:pPr>
        <w:ind w:firstLine="709"/>
        <w:jc w:val="both"/>
        <w:rPr>
          <w:rFonts w:ascii="Times New Roman" w:hAnsi="Times New Roman" w:cs="Times New Roman"/>
          <w:sz w:val="28"/>
          <w:szCs w:val="28"/>
        </w:rPr>
      </w:pPr>
    </w:p>
    <w:sectPr w:rsidR="00D254BE" w:rsidRPr="00BD4779" w:rsidSect="00D92F8F">
      <w:headerReference w:type="default" r:id="rId9"/>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79" w:rsidRDefault="005C0279" w:rsidP="00D92F8F">
      <w:pPr>
        <w:spacing w:after="0" w:line="240" w:lineRule="auto"/>
      </w:pPr>
      <w:r>
        <w:separator/>
      </w:r>
    </w:p>
  </w:endnote>
  <w:endnote w:type="continuationSeparator" w:id="0">
    <w:p w:rsidR="005C0279" w:rsidRDefault="005C0279" w:rsidP="00D9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79" w:rsidRDefault="005C0279" w:rsidP="00D92F8F">
      <w:pPr>
        <w:spacing w:after="0" w:line="240" w:lineRule="auto"/>
      </w:pPr>
      <w:r>
        <w:separator/>
      </w:r>
    </w:p>
  </w:footnote>
  <w:footnote w:type="continuationSeparator" w:id="0">
    <w:p w:rsidR="005C0279" w:rsidRDefault="005C0279" w:rsidP="00D92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93877"/>
      <w:docPartObj>
        <w:docPartGallery w:val="Page Numbers (Top of Page)"/>
        <w:docPartUnique/>
      </w:docPartObj>
    </w:sdtPr>
    <w:sdtContent>
      <w:p w:rsidR="007602E2" w:rsidRDefault="007602E2">
        <w:pPr>
          <w:pStyle w:val="a5"/>
          <w:jc w:val="center"/>
        </w:pPr>
        <w:r>
          <w:fldChar w:fldCharType="begin"/>
        </w:r>
        <w:r>
          <w:instrText>PAGE   \* MERGEFORMAT</w:instrText>
        </w:r>
        <w:r>
          <w:fldChar w:fldCharType="separate"/>
        </w:r>
        <w:r w:rsidR="00C72487">
          <w:rPr>
            <w:noProof/>
          </w:rPr>
          <w:t>39</w:t>
        </w:r>
        <w:r>
          <w:fldChar w:fldCharType="end"/>
        </w:r>
      </w:p>
    </w:sdtContent>
  </w:sdt>
  <w:p w:rsidR="007602E2" w:rsidRDefault="00760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6EA850"/>
    <w:lvl w:ilvl="0">
      <w:numFmt w:val="bullet"/>
      <w:lvlText w:val="*"/>
      <w:lvlJc w:val="left"/>
    </w:lvl>
  </w:abstractNum>
  <w:abstractNum w:abstractNumId="1">
    <w:nsid w:val="05FA0993"/>
    <w:multiLevelType w:val="hybridMultilevel"/>
    <w:tmpl w:val="AEFECA72"/>
    <w:lvl w:ilvl="0" w:tplc="85548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FE2B72"/>
    <w:multiLevelType w:val="hybridMultilevel"/>
    <w:tmpl w:val="487077AE"/>
    <w:lvl w:ilvl="0" w:tplc="664AB0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6224003"/>
    <w:multiLevelType w:val="hybridMultilevel"/>
    <w:tmpl w:val="5436F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40"/>
    <w:rsid w:val="000A0768"/>
    <w:rsid w:val="000C06E2"/>
    <w:rsid w:val="000C315C"/>
    <w:rsid w:val="001155A4"/>
    <w:rsid w:val="001264DC"/>
    <w:rsid w:val="001572C0"/>
    <w:rsid w:val="00163140"/>
    <w:rsid w:val="0020748E"/>
    <w:rsid w:val="0031650E"/>
    <w:rsid w:val="00386ECB"/>
    <w:rsid w:val="004057C0"/>
    <w:rsid w:val="004C037E"/>
    <w:rsid w:val="00523906"/>
    <w:rsid w:val="00533037"/>
    <w:rsid w:val="0054197F"/>
    <w:rsid w:val="005C0279"/>
    <w:rsid w:val="00644EE6"/>
    <w:rsid w:val="00650AEF"/>
    <w:rsid w:val="00664892"/>
    <w:rsid w:val="00743C1F"/>
    <w:rsid w:val="007602E2"/>
    <w:rsid w:val="0077598C"/>
    <w:rsid w:val="00783DE6"/>
    <w:rsid w:val="00814BB9"/>
    <w:rsid w:val="008D05AD"/>
    <w:rsid w:val="0091472D"/>
    <w:rsid w:val="00A0398C"/>
    <w:rsid w:val="00A15F0B"/>
    <w:rsid w:val="00A249C4"/>
    <w:rsid w:val="00A55A37"/>
    <w:rsid w:val="00A70F08"/>
    <w:rsid w:val="00A94BDD"/>
    <w:rsid w:val="00A9723D"/>
    <w:rsid w:val="00B40871"/>
    <w:rsid w:val="00BD4779"/>
    <w:rsid w:val="00C72487"/>
    <w:rsid w:val="00D254BE"/>
    <w:rsid w:val="00D73886"/>
    <w:rsid w:val="00D92F8F"/>
    <w:rsid w:val="00D95FDD"/>
    <w:rsid w:val="00DC2872"/>
    <w:rsid w:val="00E87DDC"/>
    <w:rsid w:val="00ED650F"/>
    <w:rsid w:val="00EE71C8"/>
    <w:rsid w:val="00EE7407"/>
    <w:rsid w:val="00EF4D58"/>
    <w:rsid w:val="00F57144"/>
    <w:rsid w:val="00F64CA5"/>
    <w:rsid w:val="00F8764F"/>
    <w:rsid w:val="00FA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779"/>
    <w:pPr>
      <w:ind w:left="720"/>
      <w:contextualSpacing/>
    </w:pPr>
  </w:style>
  <w:style w:type="character" w:styleId="a4">
    <w:name w:val="Hyperlink"/>
    <w:uiPriority w:val="99"/>
    <w:unhideWhenUsed/>
    <w:rsid w:val="004057C0"/>
    <w:rPr>
      <w:color w:val="0563C1"/>
      <w:u w:val="single"/>
    </w:rPr>
  </w:style>
  <w:style w:type="paragraph" w:styleId="1">
    <w:name w:val="toc 1"/>
    <w:basedOn w:val="a"/>
    <w:next w:val="a"/>
    <w:autoRedefine/>
    <w:uiPriority w:val="39"/>
    <w:unhideWhenUsed/>
    <w:rsid w:val="004057C0"/>
    <w:pPr>
      <w:tabs>
        <w:tab w:val="left" w:pos="426"/>
        <w:tab w:val="left" w:pos="567"/>
        <w:tab w:val="right" w:leader="dot" w:pos="9679"/>
      </w:tabs>
      <w:spacing w:before="240" w:after="0" w:line="259" w:lineRule="auto"/>
      <w:jc w:val="both"/>
    </w:pPr>
    <w:rPr>
      <w:rFonts w:ascii="Times New Roman" w:eastAsia="Times New Roman" w:hAnsi="Times New Roman" w:cs="Times New Roman"/>
      <w:noProof/>
      <w:sz w:val="28"/>
      <w:szCs w:val="28"/>
    </w:rPr>
  </w:style>
  <w:style w:type="paragraph" w:styleId="a5">
    <w:name w:val="header"/>
    <w:basedOn w:val="a"/>
    <w:link w:val="a6"/>
    <w:uiPriority w:val="99"/>
    <w:unhideWhenUsed/>
    <w:rsid w:val="00D92F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2F8F"/>
  </w:style>
  <w:style w:type="paragraph" w:styleId="a7">
    <w:name w:val="footer"/>
    <w:basedOn w:val="a"/>
    <w:link w:val="a8"/>
    <w:uiPriority w:val="99"/>
    <w:unhideWhenUsed/>
    <w:rsid w:val="00D92F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F8F"/>
  </w:style>
  <w:style w:type="paragraph" w:styleId="a9">
    <w:name w:val="Balloon Text"/>
    <w:basedOn w:val="a"/>
    <w:link w:val="aa"/>
    <w:uiPriority w:val="99"/>
    <w:semiHidden/>
    <w:unhideWhenUsed/>
    <w:rsid w:val="00814B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4BB9"/>
    <w:rPr>
      <w:rFonts w:ascii="Tahoma" w:hAnsi="Tahoma" w:cs="Tahoma"/>
      <w:sz w:val="16"/>
      <w:szCs w:val="16"/>
    </w:rPr>
  </w:style>
  <w:style w:type="paragraph" w:customStyle="1" w:styleId="ConsPlusNormal">
    <w:name w:val="ConsPlusNormal"/>
    <w:rsid w:val="00EE71C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779"/>
    <w:pPr>
      <w:ind w:left="720"/>
      <w:contextualSpacing/>
    </w:pPr>
  </w:style>
  <w:style w:type="character" w:styleId="a4">
    <w:name w:val="Hyperlink"/>
    <w:uiPriority w:val="99"/>
    <w:unhideWhenUsed/>
    <w:rsid w:val="004057C0"/>
    <w:rPr>
      <w:color w:val="0563C1"/>
      <w:u w:val="single"/>
    </w:rPr>
  </w:style>
  <w:style w:type="paragraph" w:styleId="1">
    <w:name w:val="toc 1"/>
    <w:basedOn w:val="a"/>
    <w:next w:val="a"/>
    <w:autoRedefine/>
    <w:uiPriority w:val="39"/>
    <w:unhideWhenUsed/>
    <w:rsid w:val="004057C0"/>
    <w:pPr>
      <w:tabs>
        <w:tab w:val="left" w:pos="426"/>
        <w:tab w:val="left" w:pos="567"/>
        <w:tab w:val="right" w:leader="dot" w:pos="9679"/>
      </w:tabs>
      <w:spacing w:before="240" w:after="0" w:line="259" w:lineRule="auto"/>
      <w:jc w:val="both"/>
    </w:pPr>
    <w:rPr>
      <w:rFonts w:ascii="Times New Roman" w:eastAsia="Times New Roman" w:hAnsi="Times New Roman" w:cs="Times New Roman"/>
      <w:noProof/>
      <w:sz w:val="28"/>
      <w:szCs w:val="28"/>
    </w:rPr>
  </w:style>
  <w:style w:type="paragraph" w:styleId="a5">
    <w:name w:val="header"/>
    <w:basedOn w:val="a"/>
    <w:link w:val="a6"/>
    <w:uiPriority w:val="99"/>
    <w:unhideWhenUsed/>
    <w:rsid w:val="00D92F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2F8F"/>
  </w:style>
  <w:style w:type="paragraph" w:styleId="a7">
    <w:name w:val="footer"/>
    <w:basedOn w:val="a"/>
    <w:link w:val="a8"/>
    <w:uiPriority w:val="99"/>
    <w:unhideWhenUsed/>
    <w:rsid w:val="00D92F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F8F"/>
  </w:style>
  <w:style w:type="paragraph" w:styleId="a9">
    <w:name w:val="Balloon Text"/>
    <w:basedOn w:val="a"/>
    <w:link w:val="aa"/>
    <w:uiPriority w:val="99"/>
    <w:semiHidden/>
    <w:unhideWhenUsed/>
    <w:rsid w:val="00814B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4BB9"/>
    <w:rPr>
      <w:rFonts w:ascii="Tahoma" w:hAnsi="Tahoma" w:cs="Tahoma"/>
      <w:sz w:val="16"/>
      <w:szCs w:val="16"/>
    </w:rPr>
  </w:style>
  <w:style w:type="paragraph" w:customStyle="1" w:styleId="ConsPlusNormal">
    <w:name w:val="ConsPlusNormal"/>
    <w:rsid w:val="00EE71C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01566">
      <w:bodyDiv w:val="1"/>
      <w:marLeft w:val="0"/>
      <w:marRight w:val="0"/>
      <w:marTop w:val="0"/>
      <w:marBottom w:val="0"/>
      <w:divBdr>
        <w:top w:val="none" w:sz="0" w:space="0" w:color="auto"/>
        <w:left w:val="none" w:sz="0" w:space="0" w:color="auto"/>
        <w:bottom w:val="none" w:sz="0" w:space="0" w:color="auto"/>
        <w:right w:val="none" w:sz="0" w:space="0" w:color="auto"/>
      </w:divBdr>
    </w:div>
    <w:div w:id="1307205685">
      <w:bodyDiv w:val="1"/>
      <w:marLeft w:val="0"/>
      <w:marRight w:val="0"/>
      <w:marTop w:val="0"/>
      <w:marBottom w:val="0"/>
      <w:divBdr>
        <w:top w:val="none" w:sz="0" w:space="0" w:color="auto"/>
        <w:left w:val="none" w:sz="0" w:space="0" w:color="auto"/>
        <w:bottom w:val="none" w:sz="0" w:space="0" w:color="auto"/>
        <w:right w:val="none" w:sz="0" w:space="0" w:color="auto"/>
      </w:divBdr>
    </w:div>
    <w:div w:id="19162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65C4-C308-454E-9812-4E753A77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40</Pages>
  <Words>11382</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Щербаченко</dc:creator>
  <cp:keywords/>
  <dc:description/>
  <cp:lastModifiedBy>Анастасия Щербаченко</cp:lastModifiedBy>
  <cp:revision>9</cp:revision>
  <cp:lastPrinted>2016-10-26T03:07:00Z</cp:lastPrinted>
  <dcterms:created xsi:type="dcterms:W3CDTF">2016-09-29T03:29:00Z</dcterms:created>
  <dcterms:modified xsi:type="dcterms:W3CDTF">2016-10-26T04:45:00Z</dcterms:modified>
</cp:coreProperties>
</file>