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23CAF" w14:textId="14D22DB5" w:rsidR="00AE311C" w:rsidRPr="00916AC1" w:rsidRDefault="00AA1E3D" w:rsidP="00AE311C">
      <w:pPr>
        <w:tabs>
          <w:tab w:val="left" w:pos="4678"/>
        </w:tabs>
        <w:spacing w:line="25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При</w:t>
      </w:r>
      <w:bookmarkStart w:id="0" w:name="_GoBack"/>
      <w:bookmarkEnd w:id="0"/>
      <w:r>
        <w:rPr>
          <w:sz w:val="28"/>
          <w:szCs w:val="28"/>
        </w:rPr>
        <w:t>ложение</w:t>
      </w:r>
      <w:r w:rsidR="00FF0D15">
        <w:rPr>
          <w:sz w:val="28"/>
          <w:szCs w:val="28"/>
        </w:rPr>
        <w:t xml:space="preserve"> </w:t>
      </w:r>
      <w:r w:rsidR="009215DE">
        <w:rPr>
          <w:sz w:val="28"/>
          <w:szCs w:val="28"/>
        </w:rPr>
        <w:t>5</w:t>
      </w:r>
      <w:r w:rsidR="00AE311C" w:rsidRPr="00916AC1">
        <w:rPr>
          <w:sz w:val="28"/>
          <w:szCs w:val="28"/>
        </w:rPr>
        <w:t xml:space="preserve"> </w:t>
      </w:r>
    </w:p>
    <w:p w14:paraId="6AAED140" w14:textId="77777777"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</w:t>
      </w:r>
      <w:r w:rsidR="00AC0445">
        <w:rPr>
          <w:sz w:val="28"/>
          <w:szCs w:val="28"/>
        </w:rPr>
        <w:t>муниципального округа</w:t>
      </w:r>
      <w:r w:rsidRPr="00916AC1">
        <w:rPr>
          <w:sz w:val="28"/>
          <w:szCs w:val="28"/>
        </w:rPr>
        <w:t xml:space="preserve"> </w:t>
      </w:r>
    </w:p>
    <w:p w14:paraId="4F9E6F9F" w14:textId="77777777"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«Управление муниципальными финансами </w:t>
      </w:r>
      <w:r>
        <w:rPr>
          <w:sz w:val="28"/>
          <w:szCs w:val="28"/>
        </w:rPr>
        <w:t xml:space="preserve">и обеспечение деятельности администрации Туруханского </w:t>
      </w:r>
      <w:r w:rsidR="00AC0445">
        <w:rPr>
          <w:sz w:val="28"/>
          <w:szCs w:val="28"/>
        </w:rPr>
        <w:t>муниципального округа</w:t>
      </w:r>
      <w:r w:rsidRPr="00916AC1">
        <w:rPr>
          <w:sz w:val="28"/>
          <w:szCs w:val="28"/>
        </w:rPr>
        <w:t xml:space="preserve">»  </w:t>
      </w:r>
    </w:p>
    <w:p w14:paraId="0C2D0BC5" w14:textId="77777777" w:rsidR="00AE311C" w:rsidRPr="00916AC1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14:paraId="37293259" w14:textId="77777777"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14:paraId="427D597F" w14:textId="1E71E529" w:rsidR="00AE311C" w:rsidRPr="00A022C4" w:rsidRDefault="00FF0D15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Подпрограмма </w:t>
      </w:r>
      <w:r w:rsidR="00EA741A">
        <w:rPr>
          <w:sz w:val="28"/>
          <w:szCs w:val="28"/>
        </w:rPr>
        <w:t>5</w:t>
      </w:r>
      <w:r w:rsidR="00AE311C" w:rsidRPr="00A022C4">
        <w:rPr>
          <w:sz w:val="28"/>
          <w:szCs w:val="28"/>
        </w:rPr>
        <w:t>.</w:t>
      </w:r>
    </w:p>
    <w:p w14:paraId="5DDF3CD2" w14:textId="77777777"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«Противодействие коррупции»</w:t>
      </w:r>
    </w:p>
    <w:p w14:paraId="582D1C67" w14:textId="77777777"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14:paraId="55A78CA2" w14:textId="77777777"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14:paraId="17CB0E4D" w14:textId="77777777" w:rsidR="00AE311C" w:rsidRPr="00916AC1" w:rsidRDefault="00AE311C" w:rsidP="00AE311C">
      <w:pPr>
        <w:numPr>
          <w:ilvl w:val="0"/>
          <w:numId w:val="1"/>
        </w:numPr>
        <w:tabs>
          <w:tab w:val="left" w:pos="426"/>
        </w:tabs>
        <w:spacing w:line="252" w:lineRule="auto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14:paraId="63F06594" w14:textId="77777777" w:rsidR="00AE311C" w:rsidRPr="00916AC1" w:rsidRDefault="00AE311C" w:rsidP="00AE311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AE311C" w:rsidRPr="00916AC1" w14:paraId="1D074C09" w14:textId="77777777" w:rsidTr="008465DC">
        <w:trPr>
          <w:trHeight w:val="554"/>
        </w:trPr>
        <w:tc>
          <w:tcPr>
            <w:tcW w:w="2372" w:type="dxa"/>
          </w:tcPr>
          <w:p w14:paraId="1875D528" w14:textId="77777777"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14:paraId="7B7F12B4" w14:textId="77777777"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Противодействие коррупции (далее – Подпрограмма)</w:t>
            </w:r>
          </w:p>
          <w:p w14:paraId="54FD85EA" w14:textId="77777777"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</w:tr>
      <w:tr w:rsidR="00AE311C" w:rsidRPr="00916AC1" w14:paraId="13A63190" w14:textId="77777777" w:rsidTr="008465DC">
        <w:trPr>
          <w:trHeight w:val="703"/>
        </w:trPr>
        <w:tc>
          <w:tcPr>
            <w:tcW w:w="2372" w:type="dxa"/>
          </w:tcPr>
          <w:p w14:paraId="3BFCA992" w14:textId="77777777"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Наименование муниципальной программы Туруханского </w:t>
            </w:r>
            <w:r w:rsidR="00AC0445">
              <w:rPr>
                <w:sz w:val="28"/>
                <w:szCs w:val="28"/>
              </w:rPr>
              <w:t>муниципального округа</w:t>
            </w:r>
          </w:p>
          <w:p w14:paraId="670217A2" w14:textId="77777777"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56519AA3" w14:textId="77777777"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 xml:space="preserve">и обеспечение деятельности администрации Туруханского </w:t>
            </w:r>
            <w:r w:rsidR="00AC0445">
              <w:rPr>
                <w:sz w:val="28"/>
                <w:szCs w:val="28"/>
              </w:rPr>
              <w:t>муниципального округа</w:t>
            </w:r>
            <w:r w:rsidRPr="00916AC1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AE311C" w:rsidRPr="00916AC1" w14:paraId="79B9F498" w14:textId="77777777" w:rsidTr="008465DC">
        <w:trPr>
          <w:trHeight w:val="428"/>
        </w:trPr>
        <w:tc>
          <w:tcPr>
            <w:tcW w:w="2372" w:type="dxa"/>
          </w:tcPr>
          <w:p w14:paraId="69C82CB0" w14:textId="77777777"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14:paraId="3F6751CD" w14:textId="77777777"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</w:t>
            </w:r>
            <w:r w:rsidR="00AC0445">
              <w:rPr>
                <w:sz w:val="28"/>
                <w:szCs w:val="28"/>
              </w:rPr>
              <w:t>муниципального округа</w:t>
            </w:r>
            <w:r w:rsidRPr="00916AC1">
              <w:rPr>
                <w:sz w:val="28"/>
                <w:szCs w:val="28"/>
              </w:rPr>
              <w:t xml:space="preserve"> </w:t>
            </w:r>
          </w:p>
        </w:tc>
      </w:tr>
      <w:tr w:rsidR="00AE311C" w:rsidRPr="00916AC1" w14:paraId="1541513E" w14:textId="77777777" w:rsidTr="008465DC">
        <w:trPr>
          <w:trHeight w:val="428"/>
        </w:trPr>
        <w:tc>
          <w:tcPr>
            <w:tcW w:w="2372" w:type="dxa"/>
          </w:tcPr>
          <w:p w14:paraId="6DE9643A" w14:textId="77777777"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14:paraId="2DB6EC66" w14:textId="77777777"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14:paraId="5D97CB1C" w14:textId="77777777"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Высокий уровень антикоррупционного правосознания </w:t>
            </w:r>
            <w:r w:rsidR="00672F7A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граждан.</w:t>
            </w: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357EB02" w14:textId="77777777"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14:paraId="7EDF6C89" w14:textId="77777777" w:rsidR="00AE311C" w:rsidRPr="00916AC1" w:rsidRDefault="00AE311C" w:rsidP="008465DC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 xml:space="preserve">Выполнить правовые и организационные меры, направленные на противодействие коррупции в муниципальном образовании Туруханский </w:t>
            </w:r>
            <w:r w:rsidR="00AC0445">
              <w:rPr>
                <w:sz w:val="28"/>
                <w:szCs w:val="28"/>
                <w:shd w:val="clear" w:color="auto" w:fill="FFFFFF"/>
              </w:rPr>
              <w:t>муниципальный округ</w:t>
            </w:r>
            <w:r w:rsidRPr="00916AC1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5C53C88B" w14:textId="77777777"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</w:tr>
      <w:tr w:rsidR="00AE311C" w:rsidRPr="00916AC1" w14:paraId="4F8A44FC" w14:textId="77777777" w:rsidTr="008465DC">
        <w:trPr>
          <w:trHeight w:val="1408"/>
        </w:trPr>
        <w:tc>
          <w:tcPr>
            <w:tcW w:w="2372" w:type="dxa"/>
          </w:tcPr>
          <w:p w14:paraId="05D67BB6" w14:textId="77777777"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14:paraId="1054B3D6" w14:textId="77777777"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1C83CD7F" w14:textId="77777777"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14:paraId="076F2FD2" w14:textId="77777777"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1C" w:rsidRPr="00916AC1" w14:paraId="70183C56" w14:textId="77777777" w:rsidTr="008465DC">
        <w:trPr>
          <w:trHeight w:val="80"/>
        </w:trPr>
        <w:tc>
          <w:tcPr>
            <w:tcW w:w="2372" w:type="dxa"/>
          </w:tcPr>
          <w:p w14:paraId="06854C25" w14:textId="77777777"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14:paraId="42C6DDB1" w14:textId="77777777"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62339642" w14:textId="213FB433" w:rsidR="00AE311C" w:rsidRPr="00916AC1" w:rsidRDefault="00AE311C" w:rsidP="0030573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03E8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05731">
              <w:rPr>
                <w:rFonts w:ascii="Times New Roman" w:hAnsi="Times New Roman" w:cs="Times New Roman"/>
                <w:sz w:val="28"/>
                <w:szCs w:val="28"/>
              </w:rPr>
              <w:t>2028 годы</w:t>
            </w:r>
          </w:p>
        </w:tc>
      </w:tr>
      <w:tr w:rsidR="00AE311C" w:rsidRPr="00916AC1" w14:paraId="47A3B97D" w14:textId="77777777" w:rsidTr="008465DC">
        <w:trPr>
          <w:trHeight w:val="697"/>
        </w:trPr>
        <w:tc>
          <w:tcPr>
            <w:tcW w:w="2372" w:type="dxa"/>
          </w:tcPr>
          <w:p w14:paraId="6CCFB1B1" w14:textId="77777777"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14:paraId="76E0B647" w14:textId="77777777" w:rsidR="00AE311C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385455"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рублей, из них:</w:t>
            </w:r>
          </w:p>
          <w:p w14:paraId="25BDC00D" w14:textId="77777777" w:rsidR="00903E81" w:rsidRPr="00903E81" w:rsidRDefault="00660E28" w:rsidP="00903E81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AE311C" w:rsidRPr="00916AC1">
              <w:rPr>
                <w:sz w:val="28"/>
                <w:szCs w:val="28"/>
              </w:rPr>
              <w:t>юджетные ассигнования:</w:t>
            </w:r>
          </w:p>
          <w:p w14:paraId="7B7D68BE" w14:textId="77777777" w:rsidR="009E4B54" w:rsidRDefault="00AC0445" w:rsidP="00AC0445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2026 год – 0,000 тыс. руб.</w:t>
            </w:r>
            <w:r w:rsidR="00903E81">
              <w:rPr>
                <w:sz w:val="28"/>
                <w:szCs w:val="28"/>
              </w:rPr>
              <w:t>;</w:t>
            </w:r>
          </w:p>
          <w:p w14:paraId="15283FCE" w14:textId="77777777" w:rsidR="00903E81" w:rsidRDefault="00903E81" w:rsidP="00AC0445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2027 год – 0,000 тыс. руб.;</w:t>
            </w:r>
          </w:p>
          <w:p w14:paraId="44248233" w14:textId="77777777" w:rsidR="00903E81" w:rsidRPr="00916AC1" w:rsidRDefault="00903E81" w:rsidP="00AC0445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2028 год – 0,000 тыс. руб.</w:t>
            </w:r>
          </w:p>
        </w:tc>
      </w:tr>
    </w:tbl>
    <w:p w14:paraId="6F0FDDE1" w14:textId="77777777" w:rsidR="00AE311C" w:rsidRPr="00916AC1" w:rsidRDefault="00AE311C" w:rsidP="00AE311C">
      <w:pPr>
        <w:pStyle w:val="HTML"/>
        <w:spacing w:line="252" w:lineRule="auto"/>
        <w:rPr>
          <w:color w:val="FF0000"/>
          <w:sz w:val="28"/>
          <w:szCs w:val="28"/>
        </w:rPr>
      </w:pPr>
    </w:p>
    <w:p w14:paraId="4EBFE90A" w14:textId="77777777"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Мероприятия Подпрограммы</w:t>
      </w:r>
    </w:p>
    <w:p w14:paraId="335BF87B" w14:textId="77777777" w:rsidR="00AE311C" w:rsidRPr="00916AC1" w:rsidRDefault="00AE311C" w:rsidP="00AE311C">
      <w:pPr>
        <w:tabs>
          <w:tab w:val="left" w:pos="284"/>
        </w:tabs>
        <w:spacing w:line="252" w:lineRule="auto"/>
        <w:rPr>
          <w:sz w:val="28"/>
          <w:szCs w:val="28"/>
        </w:rPr>
      </w:pPr>
    </w:p>
    <w:p w14:paraId="6A5843F9" w14:textId="77777777"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14:paraId="573497A0" w14:textId="77777777"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14:paraId="17A9ABBF" w14:textId="77777777"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14:paraId="632E70F6" w14:textId="77777777"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 xml:space="preserve">Механизм реализации Подпрограммы </w:t>
      </w:r>
    </w:p>
    <w:p w14:paraId="07B07E83" w14:textId="77777777" w:rsidR="00AE311C" w:rsidRPr="00916AC1" w:rsidRDefault="00AE311C" w:rsidP="00AE311C">
      <w:pPr>
        <w:spacing w:line="252" w:lineRule="auto"/>
        <w:jc w:val="center"/>
        <w:rPr>
          <w:sz w:val="28"/>
          <w:szCs w:val="28"/>
        </w:rPr>
      </w:pPr>
    </w:p>
    <w:p w14:paraId="18F225B5" w14:textId="77777777"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программы предусматривает выполнение организационно-правовых мероприятий. Финансирование мероприятий не требуется.</w:t>
      </w:r>
    </w:p>
    <w:p w14:paraId="1C9D5A7C" w14:textId="77777777"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План противодействия коррупции в муниципальном образовании Туруханский район на очередной финансовый год и плановый период утверждается правовым актом администрации Туруханского </w:t>
      </w:r>
      <w:r w:rsidR="00AC0445">
        <w:rPr>
          <w:sz w:val="28"/>
          <w:szCs w:val="28"/>
        </w:rPr>
        <w:t>муниципального округа</w:t>
      </w:r>
      <w:r w:rsidRPr="00916AC1">
        <w:rPr>
          <w:sz w:val="28"/>
          <w:szCs w:val="28"/>
        </w:rPr>
        <w:t xml:space="preserve">.  </w:t>
      </w:r>
    </w:p>
    <w:p w14:paraId="5BA516B2" w14:textId="77777777" w:rsidR="00AE311C" w:rsidRPr="00916AC1" w:rsidRDefault="00AE311C" w:rsidP="00AE311C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487B9" w14:textId="77777777"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Управление Подпрограммой и контроль за ходом ее выполнения</w:t>
      </w:r>
    </w:p>
    <w:p w14:paraId="16B7B4FA" w14:textId="77777777"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14:paraId="20A69C76" w14:textId="77777777" w:rsidR="00AE311C" w:rsidRPr="00916AC1" w:rsidRDefault="00AE311C" w:rsidP="00AE311C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 xml:space="preserve">Организацию управлением Подпрограммой и текущий контроль за ходом ее реализации осуществляет администрация Туруханского </w:t>
      </w:r>
      <w:r w:rsidR="00AC044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16AC1">
        <w:rPr>
          <w:rFonts w:ascii="Times New Roman" w:hAnsi="Times New Roman" w:cs="Times New Roman"/>
          <w:sz w:val="28"/>
          <w:szCs w:val="28"/>
        </w:rPr>
        <w:t>.</w:t>
      </w:r>
    </w:p>
    <w:p w14:paraId="32CD12D7" w14:textId="77777777"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</w:t>
      </w:r>
      <w:r w:rsidR="00AC0445">
        <w:rPr>
          <w:sz w:val="28"/>
          <w:szCs w:val="28"/>
        </w:rPr>
        <w:t>муниципального округа</w:t>
      </w:r>
      <w:r w:rsidRPr="00916AC1">
        <w:rPr>
          <w:sz w:val="28"/>
          <w:szCs w:val="28"/>
        </w:rPr>
        <w:t xml:space="preserve"> и </w:t>
      </w:r>
      <w:r w:rsidR="004E363A">
        <w:rPr>
          <w:sz w:val="28"/>
          <w:szCs w:val="28"/>
        </w:rPr>
        <w:t>Контрольно-счетная палата Туруханского округа</w:t>
      </w:r>
      <w:r w:rsidRPr="00916AC1">
        <w:rPr>
          <w:sz w:val="28"/>
          <w:szCs w:val="28"/>
        </w:rPr>
        <w:t>.</w:t>
      </w:r>
    </w:p>
    <w:p w14:paraId="00588FE3" w14:textId="77777777" w:rsidR="00AE311C" w:rsidRPr="00916AC1" w:rsidRDefault="0088318B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бюджетных средств </w:t>
      </w:r>
      <w:r w:rsidR="00AE311C" w:rsidRPr="00916AC1">
        <w:rPr>
          <w:sz w:val="28"/>
          <w:szCs w:val="28"/>
        </w:rPr>
        <w:t>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14:paraId="60949968" w14:textId="77777777" w:rsidR="00AE311C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 w:rsidRPr="00916AC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14:paraId="3FCE0F7D" w14:textId="77777777" w:rsidR="00AE311C" w:rsidRPr="006F1116" w:rsidRDefault="00AE311C" w:rsidP="00AE311C">
      <w:pPr>
        <w:pStyle w:val="ConsPlusCell"/>
        <w:ind w:firstLine="840"/>
        <w:jc w:val="center"/>
        <w:rPr>
          <w:sz w:val="28"/>
          <w:szCs w:val="28"/>
        </w:rPr>
      </w:pPr>
    </w:p>
    <w:p w14:paraId="5F34F511" w14:textId="77777777" w:rsidR="00EA741A" w:rsidRDefault="00EA741A"/>
    <w:sectPr w:rsidR="00EA741A" w:rsidSect="00C60067">
      <w:headerReference w:type="default" r:id="rId7"/>
      <w:pgSz w:w="11905" w:h="16838"/>
      <w:pgMar w:top="977" w:right="505" w:bottom="489" w:left="1560" w:header="68" w:footer="720" w:gutter="0"/>
      <w:pgNumType w:start="3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4AEF4" w14:textId="77777777" w:rsidR="001B4973" w:rsidRDefault="001B4973">
      <w:r>
        <w:separator/>
      </w:r>
    </w:p>
  </w:endnote>
  <w:endnote w:type="continuationSeparator" w:id="0">
    <w:p w14:paraId="4EB5286E" w14:textId="77777777" w:rsidR="001B4973" w:rsidRDefault="001B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5631D" w14:textId="77777777" w:rsidR="001B4973" w:rsidRDefault="001B4973">
      <w:r>
        <w:separator/>
      </w:r>
    </w:p>
  </w:footnote>
  <w:footnote w:type="continuationSeparator" w:id="0">
    <w:p w14:paraId="381A6C7C" w14:textId="77777777" w:rsidR="001B4973" w:rsidRDefault="001B4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636589"/>
      <w:docPartObj>
        <w:docPartGallery w:val="Page Numbers (Top of Page)"/>
        <w:docPartUnique/>
      </w:docPartObj>
    </w:sdtPr>
    <w:sdtEndPr/>
    <w:sdtContent>
      <w:p w14:paraId="32DF6B84" w14:textId="77777777" w:rsidR="00896D32" w:rsidRDefault="00896D32">
        <w:pPr>
          <w:pStyle w:val="a3"/>
          <w:jc w:val="center"/>
        </w:pPr>
      </w:p>
      <w:p w14:paraId="402C7361" w14:textId="77777777" w:rsidR="00896D32" w:rsidRDefault="00A319FD">
        <w:pPr>
          <w:pStyle w:val="a3"/>
          <w:jc w:val="center"/>
        </w:pPr>
        <w:r>
          <w:fldChar w:fldCharType="begin"/>
        </w:r>
        <w:r w:rsidR="00896D32">
          <w:instrText>PAGE   \* MERGEFORMAT</w:instrText>
        </w:r>
        <w:r>
          <w:fldChar w:fldCharType="separate"/>
        </w:r>
        <w:r w:rsidR="00C60067">
          <w:rPr>
            <w:noProof/>
          </w:rPr>
          <w:t>32</w:t>
        </w:r>
        <w:r>
          <w:fldChar w:fldCharType="end"/>
        </w:r>
      </w:p>
    </w:sdtContent>
  </w:sdt>
  <w:p w14:paraId="04533492" w14:textId="77777777" w:rsidR="00EA741A" w:rsidRDefault="00EA741A" w:rsidP="00B00FE5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11C"/>
    <w:rsid w:val="000141AC"/>
    <w:rsid w:val="00122C3A"/>
    <w:rsid w:val="001B4973"/>
    <w:rsid w:val="001B5245"/>
    <w:rsid w:val="001C3E57"/>
    <w:rsid w:val="0023704A"/>
    <w:rsid w:val="00305731"/>
    <w:rsid w:val="00353831"/>
    <w:rsid w:val="00385455"/>
    <w:rsid w:val="00420DD6"/>
    <w:rsid w:val="0042238E"/>
    <w:rsid w:val="004E1C8E"/>
    <w:rsid w:val="004E363A"/>
    <w:rsid w:val="00565377"/>
    <w:rsid w:val="00587499"/>
    <w:rsid w:val="005C26DE"/>
    <w:rsid w:val="00622A06"/>
    <w:rsid w:val="00660E28"/>
    <w:rsid w:val="00672F7A"/>
    <w:rsid w:val="00704297"/>
    <w:rsid w:val="00713D83"/>
    <w:rsid w:val="007B6A22"/>
    <w:rsid w:val="00806153"/>
    <w:rsid w:val="0088318B"/>
    <w:rsid w:val="00896D32"/>
    <w:rsid w:val="00903E81"/>
    <w:rsid w:val="009215DE"/>
    <w:rsid w:val="00923FE5"/>
    <w:rsid w:val="009E4B54"/>
    <w:rsid w:val="00A319FD"/>
    <w:rsid w:val="00A71508"/>
    <w:rsid w:val="00AA1E3D"/>
    <w:rsid w:val="00AC0445"/>
    <w:rsid w:val="00AC7B42"/>
    <w:rsid w:val="00AE311C"/>
    <w:rsid w:val="00AF5837"/>
    <w:rsid w:val="00BB5CD2"/>
    <w:rsid w:val="00BE3E36"/>
    <w:rsid w:val="00C60067"/>
    <w:rsid w:val="00E56194"/>
    <w:rsid w:val="00EA741A"/>
    <w:rsid w:val="00EB464B"/>
    <w:rsid w:val="00EB4DC8"/>
    <w:rsid w:val="00EF46D2"/>
    <w:rsid w:val="00F31E1E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7CAF"/>
  <w15:docId w15:val="{A2B5C99F-93E5-483C-A382-6996CCB5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1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E311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E311C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AE311C"/>
    <w:rPr>
      <w:rFonts w:ascii="Calibri" w:eastAsia="Times New Roman" w:hAnsi="Calibri" w:cs="Calibri"/>
      <w:sz w:val="22"/>
    </w:rPr>
  </w:style>
  <w:style w:type="paragraph" w:styleId="HTML">
    <w:name w:val="HTML Preformatted"/>
    <w:basedOn w:val="a"/>
    <w:link w:val="HTML0"/>
    <w:rsid w:val="00AE3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31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2F7A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2F7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32</cp:revision>
  <cp:lastPrinted>2025-12-05T10:56:00Z</cp:lastPrinted>
  <dcterms:created xsi:type="dcterms:W3CDTF">2018-10-08T11:09:00Z</dcterms:created>
  <dcterms:modified xsi:type="dcterms:W3CDTF">2025-12-05T10:56:00Z</dcterms:modified>
</cp:coreProperties>
</file>