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RPr="00F54E80" w:rsidTr="00F61288">
        <w:tc>
          <w:tcPr>
            <w:tcW w:w="4785" w:type="dxa"/>
          </w:tcPr>
          <w:p w:rsidR="005F30C7" w:rsidRPr="00F54E80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5F30C7" w:rsidRPr="00F54E80" w:rsidRDefault="005F30C7" w:rsidP="00F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Pr="00F54E80" w:rsidRDefault="005F30C7" w:rsidP="00F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Pr="00F54E80" w:rsidRDefault="005F30C7" w:rsidP="00F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Pr="00F54E80" w:rsidRDefault="001D1A37" w:rsidP="0037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4E80" w:rsidRPr="00F54E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06AE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  <w:r w:rsidR="00F54E80" w:rsidRPr="00F5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 w:rsidRPr="00F54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4E80" w:rsidRPr="00F5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6AE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bookmarkStart w:id="0" w:name="_GoBack"/>
            <w:bookmarkEnd w:id="0"/>
            <w:r w:rsidR="005F30C7" w:rsidRPr="00F54E8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B650F" w:rsidRPr="00F54E80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Pr="00F54E80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F54E80" w:rsidRDefault="005F30C7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Порядок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br/>
        <w:t>материального обеспечения военно-патриотических, спортивных, культурно-массовых и других мероприятий в сфере культуры, молодежной политики и туризма</w:t>
      </w: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Pr="00CF09FA" w:rsidRDefault="00F54E80" w:rsidP="00CF09FA">
      <w:pPr>
        <w:pStyle w:val="a4"/>
        <w:numPr>
          <w:ilvl w:val="0"/>
          <w:numId w:val="2"/>
        </w:num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CF09FA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Общие положения</w:t>
      </w:r>
    </w:p>
    <w:p w:rsidR="00CF09FA" w:rsidRPr="00CF09FA" w:rsidRDefault="00CF09FA" w:rsidP="00CF09FA">
      <w:pPr>
        <w:pStyle w:val="a4"/>
        <w:shd w:val="clear" w:color="auto" w:fill="FFFFFF"/>
        <w:tabs>
          <w:tab w:val="left" w:pos="9356"/>
        </w:tabs>
        <w:spacing w:after="0" w:line="240" w:lineRule="auto"/>
        <w:ind w:left="1069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Pr="00CF09FA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1.1. Целью реализации настоящего Порядка является упорядочение процесса планирования и эффективного расходования средств  районного бюджета, направленных на проведение военно-патриотических, спортивных и культурно-массовых мероприятий, спартакиад, фестивалей, поисковых экспедиций, туристских, а также других мероприятий, исполнителем (соисполнителем) которых является управление культуры и молодёжной политики администрации Туруханского района  (далее – Управление</w:t>
      </w:r>
      <w:r w:rsidRPr="00CF09FA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).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CF09FA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1.2. К официальным мероприятиям в области культуры, молодежной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 xml:space="preserve"> политики и туризма относятся краевые, межрегиональные, всероссийские, международные, городские, районные мероприятия, включенные в план работы Управления на соответствующий год (далее – мероприятия).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1.3. К участникам мероприятий относятся лица, непосредственно принимающие участие в военно-патриотических, спортивных и культурно-массовых мероприятиях, спартакиадах, фестивалях, туристских, поисковых экспедициях, а также других мероприятиях, проводимых в рамках реализации государственных программ Красноярского края, муниципальных программ, исполнителем (соисполнителем) которых является Управление,   почетные гости, тренеры, эксперты, организаторы, представители, а</w:t>
      </w:r>
      <w:r w:rsidR="00A413D7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 xml:space="preserve"> также молодежь в возрасте до 35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 xml:space="preserve"> лет.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1.4. При проведении мероприятий в установленном порядке утверждаются: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а) положение (регламент) о проведении мероприятия, программа пребывания  делегаций, иные документы, регламентирующие порядок проведения мероприятий;</w:t>
      </w: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б) приказ исполнителя (соисполнителя) о проведении мероприятия и утвержденная смета расходов на мероприятие, включающая количественный состав участников мероприятия, сроки его проведения и нормы в размере не превышающем утвержденных настоящим Порядком.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lastRenderedPageBreak/>
        <w:t xml:space="preserve">2. Порядок расходования средств районного бюджета, направляемых на проведение мероприятий 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2.1. Расходы на обеспечение бесплатным питанием участников производятся в соответствии с приложением 1 к настоящему Порядку.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2.2. Расходы на приобретение памятных призов победителям и призерам мероприятий определяются в соответствии с нормами, приведенными в </w:t>
      </w:r>
      <w:r w:rsidRPr="00F54E80">
        <w:rPr>
          <w:rFonts w:ascii="Times New Roman" w:eastAsia="Calibri" w:hAnsi="Times New Roman" w:cs="Times New Roman"/>
          <w:sz w:val="28"/>
          <w:szCs w:val="28"/>
        </w:rPr>
        <w:t>приложении 2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 к настоящему Порядку.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2.3. Расходы на оплату найма жилого помещения для участников мероприятий определяются в пределах норм, установленных, в соответствии с приложением 3 к настоящему Порядку.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2.4. Расходы по аренде сооружений и помещений, оборудования, транспортных средств, оргтехнике, оформления мест проведения, технического обеспечения мероприятий в области молодежной политики, типографских и полиграфических работ, информационной поддержке в средствах массовой информации, расходы на рекламу и другие расходы, не указанные в настоящем Порядке, производятся по действующим расценкам и договорным ценам в объемах, обеспечивающих наиболее экономичное проведение мероприятий и рациональное использование средств.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2.5. Расходы на приобретение, изготовление сувенирной атрибутики, дипломов, грамот и т.п. производятся по расценкам поставщиков в объемах, обеспечивающих наиболее экономичное проведение мероприятий и рациональное использование средств.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2.6. Управление может передавать часть функций по подготовке и проведению мероприятий иным организациям и учреждениям на основании заключенных с ними соглашений, договоров о взаимных обязательствах по подготовке и проведению конкретных мероприятий. В указанных случаях бюджетные средства перечисляются на расчетные счета этих организаций в порядке возмещения расходов на выполнение ими соответствующих функций по подготовке и проведению данных мероприятий в размере, предусмотренном сметой расходов на данное мероприятие.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 xml:space="preserve">3. Порядок формирования отчетности о проведении 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3.1. По результатам проведения мероприятия исполнителю (соисполнителю) необходимо подготовить следующие отчетные документы: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финансовый отчет о проведении мероприятия по форме, утвержденной приложением 4 к настоящему Порядку с предоставлением первичных документов (копий первичных документов), подтверждающих произведенные расходы;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списки участников мероприятия; списки победителей, призеров мероприятия, ведомость за выдачу призов (при наличии).</w:t>
      </w: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 xml:space="preserve">Отчетные документы хранятся у специалиста, ответственного за проведение мероприятия. Специалист, ответственный за проведение 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lastRenderedPageBreak/>
        <w:t>мероприятия, несет персональную и материальную ответственность за подготовку вышеперечисленных отчетных документов и их хранение.</w:t>
      </w: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22272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54E80" w:rsidRPr="00F54E80" w:rsidTr="00F54E80">
        <w:tc>
          <w:tcPr>
            <w:tcW w:w="4784" w:type="dxa"/>
            <w:shd w:val="clear" w:color="auto" w:fill="auto"/>
          </w:tcPr>
          <w:p w:rsid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CF09FA" w:rsidRDefault="00CF09FA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CF09FA" w:rsidRDefault="00CF09FA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CF09FA" w:rsidRDefault="00CF09FA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CF09FA" w:rsidRDefault="00CF09FA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CF09FA" w:rsidRDefault="00CF09FA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CF09FA" w:rsidRDefault="00CF09FA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54E80" w:rsidRDefault="00F54E80" w:rsidP="00CF09FA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Default="00F54E80" w:rsidP="00CF09FA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Pr="00F54E80" w:rsidRDefault="00F54E80" w:rsidP="00CF09FA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lastRenderedPageBreak/>
              <w:t>Приложение 1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к </w:t>
            </w:r>
            <w:r w:rsidRPr="00F54E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Порядку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 материального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обеспечения военно-патриотических,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спортивн</w:t>
            </w: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ых, культурно-массовых и других мероприятий в сфере культуры, 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молодежной политики и туризма</w:t>
            </w:r>
          </w:p>
        </w:tc>
      </w:tr>
    </w:tbl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Нормы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br/>
        <w:t>расходов на обеспечение бесплатным питанием участников мероприятий в сфере культуры, молодежной политики и туризма</w:t>
      </w: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6276"/>
        <w:gridCol w:w="2492"/>
      </w:tblGrid>
      <w:tr w:rsidR="00F54E80" w:rsidRPr="00F54E80" w:rsidTr="00CF09FA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6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Нормы расходов на одного человека в день (в рублях)</w:t>
            </w:r>
          </w:p>
        </w:tc>
      </w:tr>
      <w:tr w:rsidR="00F54E80" w:rsidRPr="00F54E80" w:rsidTr="00CF09FA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Районные, городские мероприятия</w:t>
            </w:r>
          </w:p>
        </w:tc>
        <w:tc>
          <w:tcPr>
            <w:tcW w:w="25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1330</w:t>
            </w:r>
          </w:p>
        </w:tc>
      </w:tr>
      <w:tr w:rsidR="00F54E80" w:rsidRPr="00F54E80" w:rsidTr="00CF09FA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Краевые мероприятия</w:t>
            </w:r>
          </w:p>
        </w:tc>
        <w:tc>
          <w:tcPr>
            <w:tcW w:w="25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1330</w:t>
            </w:r>
          </w:p>
        </w:tc>
      </w:tr>
      <w:tr w:rsidR="00F54E80" w:rsidRPr="00F54E80" w:rsidTr="00CF09FA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Всероссийские, межрегиональные мероприятия</w:t>
            </w:r>
          </w:p>
        </w:tc>
        <w:tc>
          <w:tcPr>
            <w:tcW w:w="25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</w:tr>
      <w:tr w:rsidR="00F54E80" w:rsidRPr="00F54E80" w:rsidTr="00CF09FA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Международные мероприятия</w:t>
            </w:r>
          </w:p>
        </w:tc>
        <w:tc>
          <w:tcPr>
            <w:tcW w:w="25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</w:tr>
    </w:tbl>
    <w:p w:rsidR="00F54E80" w:rsidRPr="00F54E80" w:rsidRDefault="00F54E80" w:rsidP="00CF0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E80" w:rsidRPr="00F54E80" w:rsidRDefault="00F54E80" w:rsidP="00CF0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80">
        <w:rPr>
          <w:rFonts w:ascii="Times New Roman" w:eastAsia="Calibri" w:hAnsi="Times New Roman" w:cs="Times New Roman"/>
          <w:sz w:val="28"/>
          <w:szCs w:val="28"/>
        </w:rPr>
        <w:t>При отсутствии возможности обеспечения организованным питанием в местах проведения мероприятий по безналичным расчетам участникам мероприятий разрешается выдавать по ведомости наличные деньги по нормам, предусмотренным при проведении  мероприятий в области молодёжной политики.</w:t>
      </w:r>
    </w:p>
    <w:p w:rsidR="00F54E80" w:rsidRPr="00F54E80" w:rsidRDefault="00F54E80" w:rsidP="00CF0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80">
        <w:rPr>
          <w:rFonts w:ascii="Times New Roman" w:eastAsia="Calibri" w:hAnsi="Times New Roman" w:cs="Times New Roman"/>
          <w:sz w:val="28"/>
          <w:szCs w:val="28"/>
        </w:rPr>
        <w:t>При проведении централизованных мероприятий на специализированных и комплексных  базах норма питания устанавливается в стоимости на  одного человека в день.</w:t>
      </w:r>
    </w:p>
    <w:p w:rsidR="00F54E80" w:rsidRPr="00F54E80" w:rsidRDefault="00F54E80" w:rsidP="00CF0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80">
        <w:rPr>
          <w:rFonts w:ascii="Times New Roman" w:eastAsia="Calibri" w:hAnsi="Times New Roman" w:cs="Times New Roman"/>
          <w:sz w:val="28"/>
          <w:szCs w:val="28"/>
        </w:rPr>
        <w:t>Оплата питания производится с включением дня отъезда и дня приезда к месту проведения мероприятия.</w:t>
      </w: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54E80" w:rsidRPr="00F54E80" w:rsidTr="00F54E80">
        <w:tc>
          <w:tcPr>
            <w:tcW w:w="4784" w:type="dxa"/>
            <w:shd w:val="clear" w:color="auto" w:fill="auto"/>
          </w:tcPr>
          <w:p w:rsid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54E80" w:rsidRDefault="00F54E80" w:rsidP="00CF09FA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54E80" w:rsidRPr="00F54E80" w:rsidRDefault="00F54E80" w:rsidP="00CF09FA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Приложение 2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к </w:t>
            </w:r>
            <w:r w:rsidRPr="00F54E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Порядку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 материального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обеспечения военно-патриотических,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спортивных, культурно-массовых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и други</w:t>
            </w: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х мероприятий в сфере культуры, 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молодежной политики и туризма</w:t>
            </w:r>
          </w:p>
        </w:tc>
      </w:tr>
    </w:tbl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Размеры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br/>
        <w:t>стоимости памятных призов участникам мероприятия в сфере культуры, молодежной политики и туризма</w:t>
      </w: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4086"/>
        <w:gridCol w:w="2497"/>
        <w:gridCol w:w="2128"/>
      </w:tblGrid>
      <w:tr w:rsidR="00F54E80" w:rsidRPr="00F54E80" w:rsidTr="00CF09FA"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08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 памятных призов (в рублях)</w:t>
            </w:r>
          </w:p>
        </w:tc>
      </w:tr>
      <w:tr w:rsidR="00F54E80" w:rsidRPr="00F54E80" w:rsidTr="00CF09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командные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личные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Районные, городские, поселковые  мероприятия</w:t>
            </w: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Краевые мероприятия</w:t>
            </w: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Всероссийские и международные мероприятия</w:t>
            </w: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54E80" w:rsidRPr="00F54E80" w:rsidTr="00CF09FA">
        <w:tc>
          <w:tcPr>
            <w:tcW w:w="4786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54E80" w:rsidRPr="00CF09FA" w:rsidRDefault="00F54E80" w:rsidP="00CF09FA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Приложение 3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к </w:t>
            </w:r>
            <w:r w:rsidRPr="00F54E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Порядку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 материального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обеспечения военно-патриотических,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спортивных, культурно-массовых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и других мероприятий в сфере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молодежной политики</w:t>
            </w:r>
          </w:p>
        </w:tc>
      </w:tr>
    </w:tbl>
    <w:p w:rsidR="00F54E80" w:rsidRPr="00F54E80" w:rsidRDefault="00F54E80" w:rsidP="00CF09FA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4E80" w:rsidRDefault="00F54E80" w:rsidP="00CF09FA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FA" w:rsidRPr="00F54E80" w:rsidRDefault="00CF09FA" w:rsidP="00CF09FA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4E80" w:rsidRPr="00F54E80" w:rsidRDefault="00F54E80" w:rsidP="00CF09FA">
      <w:pPr>
        <w:tabs>
          <w:tab w:val="left" w:pos="3690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E80">
        <w:rPr>
          <w:rFonts w:ascii="Times New Roman" w:eastAsia="Calibri" w:hAnsi="Times New Roman" w:cs="Times New Roman"/>
          <w:sz w:val="28"/>
          <w:szCs w:val="28"/>
        </w:rPr>
        <w:t>Нормы расходов</w:t>
      </w:r>
    </w:p>
    <w:p w:rsidR="00F54E80" w:rsidRPr="00F54E80" w:rsidRDefault="00F54E80" w:rsidP="00CF09FA">
      <w:pPr>
        <w:tabs>
          <w:tab w:val="left" w:pos="3690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E80">
        <w:rPr>
          <w:rFonts w:ascii="Times New Roman" w:eastAsia="Calibri" w:hAnsi="Times New Roman" w:cs="Times New Roman"/>
          <w:sz w:val="28"/>
          <w:szCs w:val="28"/>
        </w:rPr>
        <w:t xml:space="preserve"> на обеспечение  проживанием участников мероприятий</w:t>
      </w:r>
    </w:p>
    <w:p w:rsidR="00F54E80" w:rsidRPr="00F54E80" w:rsidRDefault="00F54E80" w:rsidP="00CF09FA">
      <w:pPr>
        <w:tabs>
          <w:tab w:val="left" w:pos="3690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3"/>
        <w:gridCol w:w="3191"/>
      </w:tblGrid>
      <w:tr w:rsidR="00F54E80" w:rsidRPr="00F54E80" w:rsidTr="00CF09FA">
        <w:tc>
          <w:tcPr>
            <w:tcW w:w="1526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</w:rPr>
              <w:t>Норма на одного человека в день, рублей</w:t>
            </w:r>
          </w:p>
        </w:tc>
      </w:tr>
      <w:tr w:rsidR="00F54E80" w:rsidRPr="00F54E80" w:rsidTr="00CF09FA">
        <w:tc>
          <w:tcPr>
            <w:tcW w:w="1526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 участников мероприятий</w:t>
            </w:r>
          </w:p>
        </w:tc>
        <w:tc>
          <w:tcPr>
            <w:tcW w:w="3191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</w:rPr>
              <w:t>В текущих ценах проживания в местах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 6</w:t>
            </w:r>
            <w:r w:rsidRPr="00F54E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</w:tbl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54E80" w:rsidRPr="00F54E80" w:rsidTr="00CF09FA">
        <w:tc>
          <w:tcPr>
            <w:tcW w:w="4786" w:type="dxa"/>
            <w:shd w:val="clear" w:color="auto" w:fill="auto"/>
          </w:tcPr>
          <w:p w:rsidR="00F54E80" w:rsidRPr="00F54E80" w:rsidRDefault="00F54E80" w:rsidP="00CF09FA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54E80" w:rsidRPr="00CF09FA" w:rsidRDefault="00F54E80" w:rsidP="00CF09FA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Приложение 4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к </w:t>
            </w:r>
            <w:r w:rsidRPr="00F54E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Порядку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 материального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обеспечения военно-патриотических,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спортивных, культурно-массовых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и других мероприятий в сфере</w:t>
            </w:r>
            <w:r w:rsidRPr="00F54E80">
              <w:rPr>
                <w:rFonts w:ascii="Times New Roman" w:eastAsia="Calibri" w:hAnsi="Times New Roman" w:cs="Times New Roman"/>
                <w:bCs/>
                <w:color w:val="22272F"/>
                <w:sz w:val="28"/>
                <w:szCs w:val="28"/>
                <w:lang w:eastAsia="ru-RU"/>
              </w:rPr>
              <w:br/>
              <w:t>молодежной политики</w:t>
            </w:r>
          </w:p>
        </w:tc>
      </w:tr>
    </w:tbl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CF09FA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Default="00F54E80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Финансовый отчет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br/>
        <w:t>о проведенном мероприятии в области молодежной политики</w:t>
      </w: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br/>
        <w:t>« __________________________»:</w:t>
      </w:r>
    </w:p>
    <w:p w:rsidR="00CF09FA" w:rsidRPr="00F54E80" w:rsidRDefault="00CF09FA" w:rsidP="00CF09F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p w:rsidR="00F54E80" w:rsidRPr="00F54E80" w:rsidRDefault="00F54E80" w:rsidP="00CF0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Место проведения: _________________</w:t>
      </w:r>
    </w:p>
    <w:p w:rsidR="00F54E80" w:rsidRPr="00F54E80" w:rsidRDefault="00F54E80" w:rsidP="00CF0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Сроки проведения: _________________</w:t>
      </w:r>
    </w:p>
    <w:p w:rsidR="00F54E80" w:rsidRDefault="00F54E80" w:rsidP="00CF0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Количество участников: ____________</w:t>
      </w:r>
    </w:p>
    <w:p w:rsidR="00CF09FA" w:rsidRPr="00F54E80" w:rsidRDefault="00CF09FA" w:rsidP="00CF0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3102"/>
        <w:gridCol w:w="2391"/>
        <w:gridCol w:w="3076"/>
      </w:tblGrid>
      <w:tr w:rsidR="00F54E80" w:rsidRPr="00F54E80" w:rsidTr="00CF09FA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3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(руб. коп)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Подтверждающие первичные документы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4E80" w:rsidRPr="00F54E80" w:rsidTr="00CF09F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E80" w:rsidRPr="00F54E80" w:rsidRDefault="00F54E80" w:rsidP="00CF09FA">
            <w:pPr>
              <w:tabs>
                <w:tab w:val="left" w:pos="9356"/>
              </w:tabs>
              <w:spacing w:before="100" w:beforeAutospacing="1" w:after="100" w:afterAutospacing="1"/>
              <w:ind w:right="8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4E80" w:rsidRPr="00F54E80" w:rsidRDefault="00F54E80" w:rsidP="00F54E80">
      <w:pPr>
        <w:shd w:val="clear" w:color="auto" w:fill="FFFFFF"/>
        <w:tabs>
          <w:tab w:val="left" w:pos="9356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</w:pPr>
      <w:r w:rsidRPr="00F54E80">
        <w:rPr>
          <w:rFonts w:ascii="Times New Roman" w:eastAsia="Calibri" w:hAnsi="Times New Roman" w:cs="Times New Roman"/>
          <w:color w:val="22272F"/>
          <w:sz w:val="28"/>
          <w:szCs w:val="28"/>
          <w:lang w:eastAsia="ru-RU"/>
        </w:rPr>
        <w:t>Отчет составил: ____________________________/Ф.И.О.</w:t>
      </w:r>
    </w:p>
    <w:p w:rsidR="006D39DD" w:rsidRPr="00F54E80" w:rsidRDefault="006D39DD" w:rsidP="00C6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DD" w:rsidRPr="00F54E80" w:rsidRDefault="006D39DD" w:rsidP="00C6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20" w:rsidRPr="00F54E80" w:rsidRDefault="002B1E20" w:rsidP="0026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E20" w:rsidRPr="00F54E80" w:rsidSect="00946AD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FA" w:rsidRDefault="00CF09FA" w:rsidP="00B34E56">
      <w:pPr>
        <w:spacing w:after="0" w:line="240" w:lineRule="auto"/>
      </w:pPr>
      <w:r>
        <w:separator/>
      </w:r>
    </w:p>
  </w:endnote>
  <w:endnote w:type="continuationSeparator" w:id="0">
    <w:p w:rsidR="00CF09FA" w:rsidRDefault="00CF09FA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FA" w:rsidRDefault="00CF09FA" w:rsidP="00B34E56">
      <w:pPr>
        <w:spacing w:after="0" w:line="240" w:lineRule="auto"/>
      </w:pPr>
      <w:r>
        <w:separator/>
      </w:r>
    </w:p>
  </w:footnote>
  <w:footnote w:type="continuationSeparator" w:id="0">
    <w:p w:rsidR="00CF09FA" w:rsidRDefault="00CF09FA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90609"/>
      <w:docPartObj>
        <w:docPartGallery w:val="Page Numbers (Top of Page)"/>
        <w:docPartUnique/>
      </w:docPartObj>
    </w:sdtPr>
    <w:sdtEndPr/>
    <w:sdtContent>
      <w:p w:rsidR="00946ADE" w:rsidRDefault="003706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09FA" w:rsidRDefault="00CF09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90585"/>
      <w:docPartObj>
        <w:docPartGallery w:val="Page Numbers (Top of Page)"/>
        <w:docPartUnique/>
      </w:docPartObj>
    </w:sdtPr>
    <w:sdtEndPr/>
    <w:sdtContent>
      <w:p w:rsidR="00946ADE" w:rsidRDefault="00946ADE">
        <w:pPr>
          <w:pStyle w:val="a5"/>
          <w:jc w:val="center"/>
        </w:pPr>
        <w:r>
          <w:t>2</w:t>
        </w:r>
      </w:p>
    </w:sdtContent>
  </w:sdt>
  <w:p w:rsidR="00CF09FA" w:rsidRDefault="00CF09FA" w:rsidP="00F61A0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217D7"/>
    <w:multiLevelType w:val="hybridMultilevel"/>
    <w:tmpl w:val="BD4A5154"/>
    <w:lvl w:ilvl="0" w:tplc="AB86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54DE2"/>
    <w:rsid w:val="000624A3"/>
    <w:rsid w:val="000640DB"/>
    <w:rsid w:val="00065401"/>
    <w:rsid w:val="00082219"/>
    <w:rsid w:val="00084053"/>
    <w:rsid w:val="00085B27"/>
    <w:rsid w:val="00091CDA"/>
    <w:rsid w:val="0009338E"/>
    <w:rsid w:val="00094396"/>
    <w:rsid w:val="000A182E"/>
    <w:rsid w:val="000A773E"/>
    <w:rsid w:val="000B0AC3"/>
    <w:rsid w:val="000C5B1C"/>
    <w:rsid w:val="000D751F"/>
    <w:rsid w:val="000E0A34"/>
    <w:rsid w:val="000E0D62"/>
    <w:rsid w:val="000E2895"/>
    <w:rsid w:val="000E7819"/>
    <w:rsid w:val="000F18C3"/>
    <w:rsid w:val="0010064F"/>
    <w:rsid w:val="00124D2E"/>
    <w:rsid w:val="00157560"/>
    <w:rsid w:val="001579AA"/>
    <w:rsid w:val="00170458"/>
    <w:rsid w:val="001879C7"/>
    <w:rsid w:val="00190A13"/>
    <w:rsid w:val="00192636"/>
    <w:rsid w:val="00193A7C"/>
    <w:rsid w:val="001B017E"/>
    <w:rsid w:val="001D1A37"/>
    <w:rsid w:val="001D3E08"/>
    <w:rsid w:val="001D6954"/>
    <w:rsid w:val="001F102A"/>
    <w:rsid w:val="002030FA"/>
    <w:rsid w:val="00207D7F"/>
    <w:rsid w:val="002247EB"/>
    <w:rsid w:val="0022780E"/>
    <w:rsid w:val="00250E7A"/>
    <w:rsid w:val="0026302B"/>
    <w:rsid w:val="00267673"/>
    <w:rsid w:val="0027064C"/>
    <w:rsid w:val="00282A59"/>
    <w:rsid w:val="00286CCF"/>
    <w:rsid w:val="00290A9F"/>
    <w:rsid w:val="00295A29"/>
    <w:rsid w:val="002A7AA5"/>
    <w:rsid w:val="002B1E20"/>
    <w:rsid w:val="002B453F"/>
    <w:rsid w:val="002C2D94"/>
    <w:rsid w:val="002D7BA3"/>
    <w:rsid w:val="002E7421"/>
    <w:rsid w:val="002F60AB"/>
    <w:rsid w:val="003062CE"/>
    <w:rsid w:val="00310D43"/>
    <w:rsid w:val="003237F1"/>
    <w:rsid w:val="00345DAF"/>
    <w:rsid w:val="00347F9B"/>
    <w:rsid w:val="00360726"/>
    <w:rsid w:val="0036274D"/>
    <w:rsid w:val="00363C20"/>
    <w:rsid w:val="003706AE"/>
    <w:rsid w:val="00374878"/>
    <w:rsid w:val="003861C3"/>
    <w:rsid w:val="003A579B"/>
    <w:rsid w:val="003B40D8"/>
    <w:rsid w:val="003C3709"/>
    <w:rsid w:val="003E149D"/>
    <w:rsid w:val="003E7A26"/>
    <w:rsid w:val="00401503"/>
    <w:rsid w:val="004226E8"/>
    <w:rsid w:val="004450D6"/>
    <w:rsid w:val="00446027"/>
    <w:rsid w:val="00450FC5"/>
    <w:rsid w:val="00462DA4"/>
    <w:rsid w:val="00462EAC"/>
    <w:rsid w:val="00463149"/>
    <w:rsid w:val="00465F43"/>
    <w:rsid w:val="00475221"/>
    <w:rsid w:val="004867C0"/>
    <w:rsid w:val="00495C77"/>
    <w:rsid w:val="004A1276"/>
    <w:rsid w:val="004A1D1F"/>
    <w:rsid w:val="004A4FB0"/>
    <w:rsid w:val="004A713C"/>
    <w:rsid w:val="004B25A0"/>
    <w:rsid w:val="004B6500"/>
    <w:rsid w:val="004C2A84"/>
    <w:rsid w:val="004C3F1B"/>
    <w:rsid w:val="004C77E8"/>
    <w:rsid w:val="004E320B"/>
    <w:rsid w:val="004E50C6"/>
    <w:rsid w:val="004F53F9"/>
    <w:rsid w:val="00506EF5"/>
    <w:rsid w:val="0051460D"/>
    <w:rsid w:val="00515BA5"/>
    <w:rsid w:val="005215AB"/>
    <w:rsid w:val="005328AA"/>
    <w:rsid w:val="00533362"/>
    <w:rsid w:val="005536DE"/>
    <w:rsid w:val="005579EC"/>
    <w:rsid w:val="00557BA1"/>
    <w:rsid w:val="005625A1"/>
    <w:rsid w:val="00562F40"/>
    <w:rsid w:val="00564F84"/>
    <w:rsid w:val="00571842"/>
    <w:rsid w:val="00587B8D"/>
    <w:rsid w:val="005903DB"/>
    <w:rsid w:val="00595BFA"/>
    <w:rsid w:val="005A1013"/>
    <w:rsid w:val="005A4F2D"/>
    <w:rsid w:val="005B0460"/>
    <w:rsid w:val="005C69C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92104"/>
    <w:rsid w:val="006B61DB"/>
    <w:rsid w:val="006C0132"/>
    <w:rsid w:val="006D23C3"/>
    <w:rsid w:val="006D39DD"/>
    <w:rsid w:val="006D404A"/>
    <w:rsid w:val="006D6BA7"/>
    <w:rsid w:val="006E0E20"/>
    <w:rsid w:val="006E1A4A"/>
    <w:rsid w:val="006E368E"/>
    <w:rsid w:val="006E6A67"/>
    <w:rsid w:val="007118C9"/>
    <w:rsid w:val="00715442"/>
    <w:rsid w:val="007167F3"/>
    <w:rsid w:val="007265DC"/>
    <w:rsid w:val="0074578A"/>
    <w:rsid w:val="00751676"/>
    <w:rsid w:val="00753BED"/>
    <w:rsid w:val="00756EDD"/>
    <w:rsid w:val="007628C1"/>
    <w:rsid w:val="00767341"/>
    <w:rsid w:val="007711CA"/>
    <w:rsid w:val="007711D2"/>
    <w:rsid w:val="007739CE"/>
    <w:rsid w:val="007A2454"/>
    <w:rsid w:val="007B0450"/>
    <w:rsid w:val="007B0F9D"/>
    <w:rsid w:val="007B1327"/>
    <w:rsid w:val="007B2368"/>
    <w:rsid w:val="007F208B"/>
    <w:rsid w:val="00807B5E"/>
    <w:rsid w:val="00810424"/>
    <w:rsid w:val="008137BC"/>
    <w:rsid w:val="00817002"/>
    <w:rsid w:val="008238D4"/>
    <w:rsid w:val="00826FAB"/>
    <w:rsid w:val="00827230"/>
    <w:rsid w:val="00832CAE"/>
    <w:rsid w:val="0083647C"/>
    <w:rsid w:val="00853FE3"/>
    <w:rsid w:val="00863183"/>
    <w:rsid w:val="00867D95"/>
    <w:rsid w:val="00872DF2"/>
    <w:rsid w:val="0087550E"/>
    <w:rsid w:val="00881AFC"/>
    <w:rsid w:val="00883CF4"/>
    <w:rsid w:val="00883E13"/>
    <w:rsid w:val="00895365"/>
    <w:rsid w:val="008A29B8"/>
    <w:rsid w:val="008A3A40"/>
    <w:rsid w:val="008A66CA"/>
    <w:rsid w:val="008B0CE7"/>
    <w:rsid w:val="008C472F"/>
    <w:rsid w:val="008E3C2B"/>
    <w:rsid w:val="008E6484"/>
    <w:rsid w:val="008F0106"/>
    <w:rsid w:val="008F5E9D"/>
    <w:rsid w:val="0090177B"/>
    <w:rsid w:val="00901A4A"/>
    <w:rsid w:val="00903E3E"/>
    <w:rsid w:val="00905FAB"/>
    <w:rsid w:val="00937A28"/>
    <w:rsid w:val="00943F65"/>
    <w:rsid w:val="00946ADE"/>
    <w:rsid w:val="00951867"/>
    <w:rsid w:val="00963107"/>
    <w:rsid w:val="00997199"/>
    <w:rsid w:val="009A5926"/>
    <w:rsid w:val="009B4D2F"/>
    <w:rsid w:val="009B637D"/>
    <w:rsid w:val="009C1FD4"/>
    <w:rsid w:val="009C3786"/>
    <w:rsid w:val="009C73CF"/>
    <w:rsid w:val="009D5982"/>
    <w:rsid w:val="009E0F17"/>
    <w:rsid w:val="009E539B"/>
    <w:rsid w:val="009F01F4"/>
    <w:rsid w:val="009F5A72"/>
    <w:rsid w:val="00A03F05"/>
    <w:rsid w:val="00A21926"/>
    <w:rsid w:val="00A3099D"/>
    <w:rsid w:val="00A413D7"/>
    <w:rsid w:val="00A648F3"/>
    <w:rsid w:val="00A6671C"/>
    <w:rsid w:val="00A70CC3"/>
    <w:rsid w:val="00A95787"/>
    <w:rsid w:val="00AA3BA1"/>
    <w:rsid w:val="00AA6322"/>
    <w:rsid w:val="00AA7FC2"/>
    <w:rsid w:val="00AB650F"/>
    <w:rsid w:val="00AC0E0D"/>
    <w:rsid w:val="00AC1B21"/>
    <w:rsid w:val="00AC4496"/>
    <w:rsid w:val="00AC5B2C"/>
    <w:rsid w:val="00AD29CE"/>
    <w:rsid w:val="00AE09E9"/>
    <w:rsid w:val="00AE416B"/>
    <w:rsid w:val="00B12EC2"/>
    <w:rsid w:val="00B27F1C"/>
    <w:rsid w:val="00B3317D"/>
    <w:rsid w:val="00B34E56"/>
    <w:rsid w:val="00B34FAE"/>
    <w:rsid w:val="00B43C65"/>
    <w:rsid w:val="00B50017"/>
    <w:rsid w:val="00B61E2A"/>
    <w:rsid w:val="00B6570C"/>
    <w:rsid w:val="00B767F4"/>
    <w:rsid w:val="00B86506"/>
    <w:rsid w:val="00BB4522"/>
    <w:rsid w:val="00BC1F6B"/>
    <w:rsid w:val="00BD23DF"/>
    <w:rsid w:val="00BE6A2E"/>
    <w:rsid w:val="00BE6B24"/>
    <w:rsid w:val="00C102F1"/>
    <w:rsid w:val="00C219A7"/>
    <w:rsid w:val="00C2297B"/>
    <w:rsid w:val="00C25000"/>
    <w:rsid w:val="00C44ADF"/>
    <w:rsid w:val="00C46A62"/>
    <w:rsid w:val="00C603F4"/>
    <w:rsid w:val="00C85BCB"/>
    <w:rsid w:val="00C93980"/>
    <w:rsid w:val="00C95412"/>
    <w:rsid w:val="00C95CA6"/>
    <w:rsid w:val="00CA10E5"/>
    <w:rsid w:val="00CA51DC"/>
    <w:rsid w:val="00CA68DA"/>
    <w:rsid w:val="00CB07BA"/>
    <w:rsid w:val="00CB62A9"/>
    <w:rsid w:val="00CB6601"/>
    <w:rsid w:val="00CB798C"/>
    <w:rsid w:val="00CF09FA"/>
    <w:rsid w:val="00CF1270"/>
    <w:rsid w:val="00CF36F5"/>
    <w:rsid w:val="00CF56DD"/>
    <w:rsid w:val="00D40546"/>
    <w:rsid w:val="00D41163"/>
    <w:rsid w:val="00D42028"/>
    <w:rsid w:val="00D43640"/>
    <w:rsid w:val="00D46E65"/>
    <w:rsid w:val="00D50757"/>
    <w:rsid w:val="00D51FED"/>
    <w:rsid w:val="00D520A5"/>
    <w:rsid w:val="00D67AEA"/>
    <w:rsid w:val="00D76BEA"/>
    <w:rsid w:val="00D76FF1"/>
    <w:rsid w:val="00D77C08"/>
    <w:rsid w:val="00D841EE"/>
    <w:rsid w:val="00D95779"/>
    <w:rsid w:val="00D965D2"/>
    <w:rsid w:val="00DA2342"/>
    <w:rsid w:val="00DB66F1"/>
    <w:rsid w:val="00DB67BB"/>
    <w:rsid w:val="00DC3367"/>
    <w:rsid w:val="00DF1383"/>
    <w:rsid w:val="00E12F3F"/>
    <w:rsid w:val="00E24176"/>
    <w:rsid w:val="00E2680F"/>
    <w:rsid w:val="00E468F0"/>
    <w:rsid w:val="00E51192"/>
    <w:rsid w:val="00E6206C"/>
    <w:rsid w:val="00E64736"/>
    <w:rsid w:val="00E663A4"/>
    <w:rsid w:val="00E7678C"/>
    <w:rsid w:val="00E7773D"/>
    <w:rsid w:val="00E91232"/>
    <w:rsid w:val="00EA2268"/>
    <w:rsid w:val="00EC0FA0"/>
    <w:rsid w:val="00EC2806"/>
    <w:rsid w:val="00ED2DAA"/>
    <w:rsid w:val="00ED3CEA"/>
    <w:rsid w:val="00ED7F6F"/>
    <w:rsid w:val="00EE1E9D"/>
    <w:rsid w:val="00EE3418"/>
    <w:rsid w:val="00EE58D4"/>
    <w:rsid w:val="00EF6754"/>
    <w:rsid w:val="00F03D07"/>
    <w:rsid w:val="00F343BC"/>
    <w:rsid w:val="00F35697"/>
    <w:rsid w:val="00F432F4"/>
    <w:rsid w:val="00F53117"/>
    <w:rsid w:val="00F54E80"/>
    <w:rsid w:val="00F55490"/>
    <w:rsid w:val="00F55C48"/>
    <w:rsid w:val="00F61288"/>
    <w:rsid w:val="00F61A09"/>
    <w:rsid w:val="00F64F89"/>
    <w:rsid w:val="00F671CE"/>
    <w:rsid w:val="00F70958"/>
    <w:rsid w:val="00F812E8"/>
    <w:rsid w:val="00F86FFD"/>
    <w:rsid w:val="00F95A07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AC91FEC-45C5-43CC-B9D0-45150AA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51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574C-BE11-4E8D-AD72-58CE95BC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12</cp:revision>
  <cp:lastPrinted>2023-03-30T08:44:00Z</cp:lastPrinted>
  <dcterms:created xsi:type="dcterms:W3CDTF">2022-12-02T08:23:00Z</dcterms:created>
  <dcterms:modified xsi:type="dcterms:W3CDTF">2023-03-30T08:50:00Z</dcterms:modified>
</cp:coreProperties>
</file>