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FD5F" w14:textId="6CF7CBCA" w:rsidR="007F4966" w:rsidRPr="007F4966" w:rsidRDefault="007F4966" w:rsidP="007F496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2BA4A3" wp14:editId="01F69D28">
            <wp:extent cx="523875" cy="609600"/>
            <wp:effectExtent l="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FE99" w14:textId="77777777" w:rsidR="007F4966" w:rsidRPr="007F4966" w:rsidRDefault="007F4966" w:rsidP="007F496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F732A9" w14:textId="77777777" w:rsidR="007F4966" w:rsidRPr="007F4966" w:rsidRDefault="007F4966" w:rsidP="007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7E5F59A1" w14:textId="77777777" w:rsidR="007F4966" w:rsidRPr="007F4966" w:rsidRDefault="007F4966" w:rsidP="007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2AFE6655" w14:textId="77777777" w:rsidR="007F4966" w:rsidRPr="007F4966" w:rsidRDefault="007F4966" w:rsidP="007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893A2" w14:textId="77777777" w:rsidR="007F4966" w:rsidRPr="007F4966" w:rsidRDefault="007F4966" w:rsidP="007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49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6A349600" w14:textId="77777777" w:rsidR="007F4966" w:rsidRPr="007F4966" w:rsidRDefault="007F4966" w:rsidP="007F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5589"/>
        <w:gridCol w:w="2361"/>
      </w:tblGrid>
      <w:tr w:rsidR="007F4966" w:rsidRPr="007F4966" w14:paraId="570E5CE7" w14:textId="77777777" w:rsidTr="007F4966">
        <w:tc>
          <w:tcPr>
            <w:tcW w:w="1623" w:type="dxa"/>
          </w:tcPr>
          <w:p w14:paraId="7E6B6A6B" w14:textId="2562AD27" w:rsidR="007F4966" w:rsidRPr="007F4966" w:rsidRDefault="000C2E81" w:rsidP="007F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07.07.2023</w:t>
            </w:r>
            <w:r w:rsidR="007F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F4966" w:rsidRPr="007F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7" w:type="dxa"/>
          </w:tcPr>
          <w:p w14:paraId="79DE84B4" w14:textId="77777777" w:rsidR="007F4966" w:rsidRPr="007F4966" w:rsidRDefault="007F4966" w:rsidP="007F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с. Туруханск</w:t>
            </w:r>
          </w:p>
        </w:tc>
        <w:tc>
          <w:tcPr>
            <w:tcW w:w="2377" w:type="dxa"/>
          </w:tcPr>
          <w:p w14:paraId="6895D4B7" w14:textId="60FA288B" w:rsidR="007F4966" w:rsidRPr="007F4966" w:rsidRDefault="007F4966" w:rsidP="000C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0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534 </w:t>
            </w:r>
            <w:r w:rsidRPr="007F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</w:tc>
      </w:tr>
    </w:tbl>
    <w:p w14:paraId="77071A7E" w14:textId="66905313" w:rsidR="001278E4" w:rsidRDefault="001278E4" w:rsidP="007F4966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E172E" w14:textId="77777777" w:rsidR="007F4966" w:rsidRDefault="007F4966" w:rsidP="007F4966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36AEF02C" w14:textId="08F7013F" w:rsidR="003931CF" w:rsidRDefault="00954975" w:rsidP="007F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954975">
        <w:rPr>
          <w:rFonts w:ascii="Times New Roman" w:hAnsi="Times New Roman"/>
          <w:bCs/>
          <w:sz w:val="28"/>
          <w:szCs w:val="28"/>
        </w:rPr>
        <w:t>О мерах поддержки арендаторов муниципального имущества в связи с частичной мобилизацией</w:t>
      </w:r>
    </w:p>
    <w:bookmarkEnd w:id="0"/>
    <w:p w14:paraId="184BFF18" w14:textId="77777777" w:rsidR="00347E1D" w:rsidRDefault="00347E1D" w:rsidP="0095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CD91A" w14:textId="77777777" w:rsidR="007F4966" w:rsidRPr="00954975" w:rsidRDefault="007F4966" w:rsidP="0095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C0F20" w14:textId="1FB1B360" w:rsidR="007F4966" w:rsidRPr="007F4966" w:rsidRDefault="007F4966" w:rsidP="006A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1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065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66065">
        <w:rPr>
          <w:rFonts w:ascii="Times New Roman" w:hAnsi="Times New Roman"/>
          <w:sz w:val="28"/>
          <w:szCs w:val="28"/>
        </w:rPr>
        <w:t>от 15.10.2022 № 3046-р,</w:t>
      </w:r>
      <w:r w:rsidR="00F6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A77ACE"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47, 48, </w:t>
      </w:r>
      <w:r w:rsid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r w:rsidR="00A77ACE"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>57, 76, 77</w:t>
      </w:r>
      <w:r w:rsid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Туруханского района, ПОСТАНОВЛЯЮ:</w:t>
      </w:r>
    </w:p>
    <w:p w14:paraId="34B2036C" w14:textId="1F8C3D65" w:rsidR="00E01C4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1C0F0" w14:textId="77777777" w:rsidR="007F4966" w:rsidRDefault="007F4966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24287" w14:textId="7F3B1F4C" w:rsidR="00667013" w:rsidRDefault="000977C2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7013">
        <w:rPr>
          <w:rFonts w:ascii="Times New Roman" w:hAnsi="Times New Roman"/>
          <w:sz w:val="28"/>
          <w:szCs w:val="28"/>
        </w:rPr>
        <w:t xml:space="preserve">Предоставить </w:t>
      </w:r>
      <w:r w:rsidR="00667013" w:rsidRPr="002F4275">
        <w:rPr>
          <w:rFonts w:ascii="Times New Roman" w:hAnsi="Times New Roman"/>
          <w:sz w:val="28"/>
          <w:szCs w:val="28"/>
        </w:rPr>
        <w:t>арендатор</w:t>
      </w:r>
      <w:r w:rsidR="00667013">
        <w:rPr>
          <w:rFonts w:ascii="Times New Roman" w:hAnsi="Times New Roman"/>
          <w:sz w:val="28"/>
          <w:szCs w:val="28"/>
        </w:rPr>
        <w:t xml:space="preserve">ам муниципального имущества - </w:t>
      </w:r>
      <w:r w:rsidR="00667013" w:rsidRPr="002F4275">
        <w:rPr>
          <w:rFonts w:ascii="Times New Roman" w:hAnsi="Times New Roman"/>
          <w:sz w:val="28"/>
          <w:szCs w:val="28"/>
        </w:rPr>
        <w:t>физически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 лица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 w:rsidR="00667013">
        <w:rPr>
          <w:rFonts w:ascii="Times New Roman" w:hAnsi="Times New Roman"/>
          <w:sz w:val="28"/>
          <w:szCs w:val="28"/>
        </w:rPr>
        <w:t>ям</w:t>
      </w:r>
      <w:r w:rsidR="00667013" w:rsidRPr="002F4275">
        <w:rPr>
          <w:rFonts w:ascii="Times New Roman" w:hAnsi="Times New Roman"/>
          <w:sz w:val="28"/>
          <w:szCs w:val="28"/>
        </w:rPr>
        <w:t>, юридически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 лица</w:t>
      </w:r>
      <w:r w:rsidR="00667013">
        <w:rPr>
          <w:rFonts w:ascii="Times New Roman" w:hAnsi="Times New Roman"/>
          <w:sz w:val="28"/>
          <w:szCs w:val="28"/>
        </w:rPr>
        <w:t>м</w:t>
      </w:r>
      <w:r w:rsidR="00667013"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="00667013"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 w:rsidR="00667013">
        <w:rPr>
          <w:rFonts w:ascii="Times New Roman" w:hAnsi="Times New Roman"/>
          <w:sz w:val="28"/>
          <w:szCs w:val="28"/>
        </w:rPr>
        <w:t>ы</w:t>
      </w:r>
      <w:r w:rsidR="00667013"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</w:t>
      </w:r>
      <w:hyperlink r:id="rId9">
        <w:r w:rsidR="00667013"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="00667013" w:rsidRPr="000A015D">
        <w:rPr>
          <w:rFonts w:ascii="Times New Roman" w:hAnsi="Times New Roman"/>
          <w:sz w:val="28"/>
          <w:szCs w:val="28"/>
        </w:rPr>
        <w:t xml:space="preserve"> Презид</w:t>
      </w:r>
      <w:r w:rsidR="007F4966">
        <w:rPr>
          <w:rFonts w:ascii="Times New Roman" w:hAnsi="Times New Roman"/>
          <w:sz w:val="28"/>
          <w:szCs w:val="28"/>
        </w:rPr>
        <w:t>ента Российской Федерации от 21.09.</w:t>
      </w:r>
      <w:r w:rsidR="00667013" w:rsidRPr="000A015D">
        <w:rPr>
          <w:rFonts w:ascii="Times New Roman" w:hAnsi="Times New Roman"/>
          <w:sz w:val="28"/>
          <w:szCs w:val="28"/>
        </w:rPr>
        <w:t>2022</w:t>
      </w:r>
      <w:r w:rsidR="007F4966">
        <w:rPr>
          <w:rFonts w:ascii="Times New Roman" w:hAnsi="Times New Roman"/>
          <w:sz w:val="28"/>
          <w:szCs w:val="28"/>
        </w:rPr>
        <w:t xml:space="preserve">                      </w:t>
      </w:r>
      <w:r w:rsidR="00667013" w:rsidRPr="000A015D">
        <w:rPr>
          <w:rFonts w:ascii="Times New Roman" w:hAnsi="Times New Roman"/>
          <w:sz w:val="28"/>
          <w:szCs w:val="28"/>
        </w:rPr>
        <w:t xml:space="preserve">№ 647 «Об объявлении частичной мобилизации в Российской Федерации» или проходящие военную службу по контракту, </w:t>
      </w:r>
      <w:r w:rsidR="00667013"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10">
        <w:r w:rsidR="00667013"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="00667013"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67013" w:rsidRPr="002B2594">
        <w:rPr>
          <w:rFonts w:ascii="Times New Roman" w:hAnsi="Times New Roman"/>
          <w:sz w:val="28"/>
          <w:szCs w:val="28"/>
        </w:rPr>
        <w:t>от 28</w:t>
      </w:r>
      <w:r w:rsidR="007F4966">
        <w:rPr>
          <w:rFonts w:ascii="Times New Roman" w:hAnsi="Times New Roman"/>
          <w:sz w:val="28"/>
          <w:szCs w:val="28"/>
        </w:rPr>
        <w:t>.03.</w:t>
      </w:r>
      <w:r w:rsidR="00667013" w:rsidRPr="002B2594">
        <w:rPr>
          <w:rFonts w:ascii="Times New Roman" w:hAnsi="Times New Roman"/>
          <w:sz w:val="28"/>
          <w:szCs w:val="28"/>
        </w:rPr>
        <w:t xml:space="preserve">1998 </w:t>
      </w:r>
      <w:r w:rsidR="00A77ACE">
        <w:rPr>
          <w:rFonts w:ascii="Times New Roman" w:hAnsi="Times New Roman"/>
          <w:sz w:val="28"/>
          <w:szCs w:val="28"/>
        </w:rPr>
        <w:t xml:space="preserve">                </w:t>
      </w:r>
      <w:r w:rsidR="00667013" w:rsidRPr="002B2594">
        <w:rPr>
          <w:rFonts w:ascii="Times New Roman" w:hAnsi="Times New Roman"/>
          <w:sz w:val="28"/>
          <w:szCs w:val="28"/>
        </w:rPr>
        <w:t>№ 53-ФЗ</w:t>
      </w:r>
      <w:r w:rsidR="00667013" w:rsidRPr="00E776DA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667013">
        <w:rPr>
          <w:rFonts w:ascii="Times New Roman" w:hAnsi="Times New Roman"/>
          <w:sz w:val="28"/>
          <w:szCs w:val="28"/>
        </w:rPr>
        <w:t>:</w:t>
      </w:r>
    </w:p>
    <w:p w14:paraId="274BCB76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добровольного содействия в выполнении задач, возложенных на Вооруженные Силы Российской Федерации, указанным лицом; </w:t>
      </w:r>
    </w:p>
    <w:p w14:paraId="339B1BEE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14:paraId="17149499" w14:textId="684E6D6F" w:rsidR="006C622A" w:rsidRPr="00E776DA" w:rsidRDefault="009A3D79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6C622A" w:rsidRPr="00E776DA">
        <w:rPr>
          <w:rFonts w:ascii="Times New Roman" w:hAnsi="Times New Roman"/>
          <w:sz w:val="28"/>
          <w:szCs w:val="28"/>
        </w:rPr>
        <w:t xml:space="preserve">Предоставление отсрочки уплаты арендной платы, указанной в </w:t>
      </w:r>
      <w:hyperlink w:anchor="P7">
        <w:r w:rsidR="006C622A"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="006C622A"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3A2AC060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</w:p>
    <w:p w14:paraId="1522EC9B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77DBC5F4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</w:p>
    <w:p w14:paraId="2F08C7BB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</w:p>
    <w:p w14:paraId="6A62F151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70D0A563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14:paraId="4BF30CAF" w14:textId="5710F584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="007F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r w:rsidR="007F4966"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14:paraId="16DC0C02" w14:textId="77777777" w:rsidR="006C622A" w:rsidRPr="00E776DA" w:rsidRDefault="006C622A" w:rsidP="006C6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5865C2E7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52F2EFBC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CE3D4A4" w14:textId="77777777" w:rsidR="006C622A" w:rsidRPr="006C622A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76BDBBEF" w14:textId="77777777" w:rsidR="0044002C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14:paraId="67DFC08D" w14:textId="3D86EC41" w:rsidR="0044002C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</w:t>
      </w:r>
      <w:r w:rsidRPr="00B054F6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A77ACE" w:rsidRPr="00A77ACE">
        <w:rPr>
          <w:rFonts w:ascii="Times New Roman" w:hAnsi="Times New Roman" w:cs="Times New Roman"/>
          <w:sz w:val="28"/>
          <w:szCs w:val="28"/>
        </w:rPr>
        <w:t>Туруханского муниципального района</w:t>
      </w:r>
      <w:r w:rsidRPr="00A77ACE">
        <w:rPr>
          <w:rFonts w:ascii="Times New Roman" w:hAnsi="Times New Roman" w:cs="Times New Roman"/>
          <w:sz w:val="28"/>
          <w:szCs w:val="28"/>
        </w:rPr>
        <w:t xml:space="preserve"> (</w:t>
      </w:r>
      <w:r w:rsidRPr="00B054F6">
        <w:rPr>
          <w:rFonts w:ascii="Times New Roman" w:hAnsi="Times New Roman" w:cs="Times New Roman"/>
          <w:sz w:val="28"/>
          <w:szCs w:val="28"/>
        </w:rPr>
        <w:t>в том числе земельных участков);</w:t>
      </w:r>
    </w:p>
    <w:p w14:paraId="0DEABD76" w14:textId="6351E07B" w:rsidR="0044002C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</w:t>
      </w:r>
      <w:r w:rsidRPr="00B054F6">
        <w:rPr>
          <w:rFonts w:ascii="Times New Roman" w:hAnsi="Times New Roman" w:cs="Times New Roman"/>
          <w:sz w:val="28"/>
          <w:szCs w:val="28"/>
        </w:rPr>
        <w:t>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муниципальными учреждениями, предприятиями</w:t>
      </w:r>
      <w:r w:rsidRPr="00B054F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4F6">
        <w:rPr>
          <w:rFonts w:ascii="Times New Roman" w:hAnsi="Times New Roman" w:cs="Times New Roman"/>
          <w:sz w:val="28"/>
          <w:szCs w:val="28"/>
        </w:rPr>
        <w:t xml:space="preserve"> хозяйственного 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1B693" w14:textId="126A18E5" w:rsidR="00A77ACE" w:rsidRPr="00A77ACE" w:rsidRDefault="00A77ACE" w:rsidP="00A77A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 газете Туруханского района «Маяк Севера» и разме</w:t>
      </w:r>
      <w:r w:rsidR="000524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Туруханского района в сети Интернет.</w:t>
      </w:r>
    </w:p>
    <w:p w14:paraId="0E5423C4" w14:textId="6CA4F757" w:rsidR="00A77ACE" w:rsidRPr="00A77ACE" w:rsidRDefault="00A77ACE" w:rsidP="00A77A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возложить на заместителя Главы Туруханского района О.С. Вершинину.</w:t>
      </w:r>
    </w:p>
    <w:p w14:paraId="0F8B489F" w14:textId="26653419" w:rsidR="0044002C" w:rsidRDefault="00A77ACE" w:rsidP="00A77A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9A3D79" w:rsidRPr="00C64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A77AC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DE367" w14:textId="77777777" w:rsidR="00A77ACE" w:rsidRDefault="00A77ACE" w:rsidP="00A77A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297BB" w14:textId="77777777" w:rsidR="00A77ACE" w:rsidRPr="00A77ACE" w:rsidRDefault="00A77ACE" w:rsidP="00A77A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9E3B2" w14:textId="77777777" w:rsidR="00A77ACE" w:rsidRDefault="00A77ACE" w:rsidP="00A77A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8A0E" w14:textId="6765CCE8" w:rsidR="00A77ACE" w:rsidRDefault="00A77ACE" w:rsidP="00A7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14:paraId="377B4CF4" w14:textId="13B492DB" w:rsidR="009A3D79" w:rsidRDefault="00A77ACE" w:rsidP="00A77AC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Жосан</w:t>
      </w:r>
    </w:p>
    <w:sectPr w:rsidR="009A3D79" w:rsidSect="00A77ACE">
      <w:endnotePr>
        <w:numFmt w:val="decimal"/>
        <w:numRestart w:val="eachSect"/>
      </w:endnotePr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A51B5" w14:textId="77777777" w:rsidR="007F4966" w:rsidRDefault="007F4966" w:rsidP="00E01C45">
      <w:pPr>
        <w:spacing w:after="0" w:line="240" w:lineRule="auto"/>
      </w:pPr>
      <w:r>
        <w:separator/>
      </w:r>
    </w:p>
  </w:endnote>
  <w:endnote w:type="continuationSeparator" w:id="0">
    <w:p w14:paraId="396338FF" w14:textId="77777777" w:rsidR="007F4966" w:rsidRDefault="007F4966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728F" w14:textId="77777777" w:rsidR="007F4966" w:rsidRDefault="007F4966" w:rsidP="00E01C45">
      <w:pPr>
        <w:spacing w:after="0" w:line="240" w:lineRule="auto"/>
      </w:pPr>
      <w:r>
        <w:separator/>
      </w:r>
    </w:p>
  </w:footnote>
  <w:footnote w:type="continuationSeparator" w:id="0">
    <w:p w14:paraId="66C5AE9A" w14:textId="77777777" w:rsidR="007F4966" w:rsidRDefault="007F4966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524E8"/>
    <w:rsid w:val="0007741B"/>
    <w:rsid w:val="000977C2"/>
    <w:rsid w:val="000C1D44"/>
    <w:rsid w:val="000C2E81"/>
    <w:rsid w:val="000C66DB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47E1D"/>
    <w:rsid w:val="00387044"/>
    <w:rsid w:val="003931CF"/>
    <w:rsid w:val="003940C1"/>
    <w:rsid w:val="003B6C6A"/>
    <w:rsid w:val="00415D75"/>
    <w:rsid w:val="004274D6"/>
    <w:rsid w:val="0044002C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7013"/>
    <w:rsid w:val="00675D42"/>
    <w:rsid w:val="00676B28"/>
    <w:rsid w:val="006A63AD"/>
    <w:rsid w:val="006B3761"/>
    <w:rsid w:val="006C42FB"/>
    <w:rsid w:val="006C622A"/>
    <w:rsid w:val="006E6053"/>
    <w:rsid w:val="00725233"/>
    <w:rsid w:val="00747C6D"/>
    <w:rsid w:val="00772979"/>
    <w:rsid w:val="007A510F"/>
    <w:rsid w:val="007E0B45"/>
    <w:rsid w:val="007F4966"/>
    <w:rsid w:val="007F5349"/>
    <w:rsid w:val="00826CDD"/>
    <w:rsid w:val="0086748B"/>
    <w:rsid w:val="0087604F"/>
    <w:rsid w:val="00891554"/>
    <w:rsid w:val="008C1C2A"/>
    <w:rsid w:val="008D6D42"/>
    <w:rsid w:val="008E7EF4"/>
    <w:rsid w:val="0090589A"/>
    <w:rsid w:val="00913F84"/>
    <w:rsid w:val="00954975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77ACE"/>
    <w:rsid w:val="00A92C6A"/>
    <w:rsid w:val="00AD035D"/>
    <w:rsid w:val="00B237CB"/>
    <w:rsid w:val="00B31E4D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6065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docId w15:val="{C87A8D4A-48A7-4E4D-9A80-81258157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EB39A7DD9D7A97CD03BE03755F470F9B907667D202C40573D9138DA89B280A7D84037AC096800289B7E7CF2I6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1670-B200-47EA-98E5-55AE3254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</cp:lastModifiedBy>
  <cp:revision>6</cp:revision>
  <cp:lastPrinted>2023-07-10T02:45:00Z</cp:lastPrinted>
  <dcterms:created xsi:type="dcterms:W3CDTF">2023-07-03T02:19:00Z</dcterms:created>
  <dcterms:modified xsi:type="dcterms:W3CDTF">2023-07-10T02:45:00Z</dcterms:modified>
</cp:coreProperties>
</file>